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606BB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w:t>
      </w:r>
      <w:r w:rsidR="00185F17">
        <w:rPr>
          <w:rFonts w:ascii="Calibri" w:hAnsi="Calibri" w:cs="Calibri"/>
          <w:b/>
          <w:bCs/>
          <w:color w:val="000000"/>
          <w:szCs w:val="22"/>
        </w:rPr>
        <w:t>March 17</w:t>
      </w:r>
      <w:r w:rsidR="00AB557B">
        <w:rPr>
          <w:rFonts w:ascii="Calibri" w:hAnsi="Calibri" w:cs="Calibri"/>
          <w:b/>
          <w:bCs/>
          <w:color w:val="000000"/>
          <w:szCs w:val="22"/>
        </w:rPr>
        <w:t xml:space="preserve">, 2016 </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EE2D91" w:rsidRDefault="00D9185C" w:rsidP="00EE2D9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EE2D91">
        <w:rPr>
          <w:rFonts w:ascii="Calibri" w:hAnsi="Calibri" w:cs="Calibri"/>
          <w:color w:val="000000"/>
          <w:szCs w:val="22"/>
        </w:rPr>
        <w:t xml:space="preserve">Call to </w:t>
      </w:r>
      <w:r w:rsidR="00606BB7" w:rsidRPr="00EE2D91">
        <w:rPr>
          <w:rFonts w:ascii="Calibri" w:hAnsi="Calibri" w:cs="Calibri"/>
          <w:color w:val="000000"/>
          <w:szCs w:val="22"/>
        </w:rPr>
        <w:t>Order at 2:02pm</w:t>
      </w:r>
    </w:p>
    <w:p w:rsidR="00EE2D91" w:rsidRPr="00EE2D91" w:rsidRDefault="00EE2D91" w:rsidP="00EE2D9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libri" w:hAnsi="Calibri" w:cs="Calibri"/>
          <w:color w:val="000000"/>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456"/>
        <w:gridCol w:w="3050"/>
        <w:gridCol w:w="1082"/>
        <w:gridCol w:w="1080"/>
        <w:gridCol w:w="990"/>
      </w:tblGrid>
      <w:tr w:rsidR="00EE2D91" w:rsidRPr="005231F7">
        <w:tc>
          <w:tcPr>
            <w:tcW w:w="2456" w:type="dxa"/>
          </w:tcPr>
          <w:p w:rsidR="00EE2D91" w:rsidRPr="005231F7" w:rsidRDefault="00EE2D91" w:rsidP="00EB549A">
            <w:pPr>
              <w:spacing w:before="100" w:beforeAutospacing="1" w:after="100" w:afterAutospacing="1"/>
              <w:rPr>
                <w:rFonts w:cs="Times New Roman"/>
                <w:b/>
              </w:rPr>
            </w:pPr>
            <w:r w:rsidRPr="005231F7">
              <w:rPr>
                <w:rFonts w:cs="Times New Roman"/>
                <w:b/>
              </w:rPr>
              <w:t>Senator</w:t>
            </w:r>
          </w:p>
        </w:tc>
        <w:tc>
          <w:tcPr>
            <w:tcW w:w="3050" w:type="dxa"/>
          </w:tcPr>
          <w:p w:rsidR="00EE2D91" w:rsidRPr="005231F7" w:rsidRDefault="00EE2D91" w:rsidP="00EB549A">
            <w:pPr>
              <w:spacing w:before="100" w:beforeAutospacing="1" w:after="100" w:afterAutospacing="1"/>
              <w:rPr>
                <w:rFonts w:cs="Times New Roman"/>
                <w:b/>
              </w:rPr>
            </w:pPr>
            <w:r w:rsidRPr="005231F7">
              <w:rPr>
                <w:rFonts w:cs="Times New Roman"/>
                <w:b/>
              </w:rPr>
              <w:t>Division Represented</w:t>
            </w:r>
          </w:p>
        </w:tc>
        <w:tc>
          <w:tcPr>
            <w:tcW w:w="1082" w:type="dxa"/>
          </w:tcPr>
          <w:p w:rsidR="00EE2D91" w:rsidRPr="005231F7" w:rsidRDefault="00EE2D91" w:rsidP="00EB549A">
            <w:pPr>
              <w:spacing w:before="100" w:beforeAutospacing="1" w:after="100" w:afterAutospacing="1"/>
              <w:rPr>
                <w:rFonts w:cs="Times New Roman"/>
                <w:b/>
              </w:rPr>
            </w:pPr>
            <w:r w:rsidRPr="005231F7">
              <w:rPr>
                <w:rFonts w:cs="Times New Roman"/>
                <w:b/>
              </w:rPr>
              <w:t>Initials</w:t>
            </w:r>
          </w:p>
        </w:tc>
        <w:tc>
          <w:tcPr>
            <w:tcW w:w="1080" w:type="dxa"/>
          </w:tcPr>
          <w:p w:rsidR="00EE2D91" w:rsidRPr="005231F7" w:rsidRDefault="00EE2D91" w:rsidP="00EB549A">
            <w:pPr>
              <w:spacing w:before="100" w:beforeAutospacing="1" w:after="100" w:afterAutospacing="1"/>
              <w:rPr>
                <w:rFonts w:cs="Times New Roman"/>
                <w:b/>
              </w:rPr>
            </w:pPr>
            <w:r w:rsidRPr="005231F7">
              <w:rPr>
                <w:rFonts w:cs="Times New Roman"/>
                <w:b/>
              </w:rPr>
              <w:t>Present</w:t>
            </w:r>
          </w:p>
        </w:tc>
        <w:tc>
          <w:tcPr>
            <w:tcW w:w="990" w:type="dxa"/>
          </w:tcPr>
          <w:p w:rsidR="00EE2D91" w:rsidRPr="005231F7" w:rsidRDefault="00EE2D91" w:rsidP="00EB549A">
            <w:pPr>
              <w:spacing w:before="100" w:beforeAutospacing="1" w:after="100" w:afterAutospacing="1"/>
              <w:rPr>
                <w:rFonts w:cs="Times New Roman"/>
                <w:b/>
              </w:rPr>
            </w:pPr>
            <w:r w:rsidRPr="005231F7">
              <w:rPr>
                <w:rFonts w:cs="Times New Roman"/>
                <w:b/>
              </w:rPr>
              <w:t>Absent</w:t>
            </w:r>
          </w:p>
        </w:tc>
      </w:tr>
      <w:tr w:rsidR="00EE2D91" w:rsidRPr="005231F7">
        <w:tc>
          <w:tcPr>
            <w:tcW w:w="2456" w:type="dxa"/>
          </w:tcPr>
          <w:p w:rsidR="00EE2D91" w:rsidRPr="005231F7" w:rsidRDefault="00EE2D91" w:rsidP="00EB549A">
            <w:pPr>
              <w:widowControl w:val="0"/>
              <w:tabs>
                <w:tab w:val="left" w:pos="7160"/>
              </w:tabs>
              <w:autoSpaceDE w:val="0"/>
              <w:autoSpaceDN w:val="0"/>
              <w:adjustRightInd w:val="0"/>
              <w:spacing w:before="100" w:beforeAutospacing="1" w:after="100" w:afterAutospacing="1"/>
              <w:rPr>
                <w:color w:val="000000"/>
              </w:rPr>
            </w:pPr>
            <w:r w:rsidRPr="005231F7">
              <w:rPr>
                <w:color w:val="000000"/>
              </w:rPr>
              <w:t>Algiers, Kammy</w:t>
            </w:r>
          </w:p>
        </w:tc>
        <w:tc>
          <w:tcPr>
            <w:tcW w:w="3050" w:type="dxa"/>
          </w:tcPr>
          <w:p w:rsidR="00EE2D91" w:rsidRPr="005231F7" w:rsidRDefault="00EE2D91" w:rsidP="00EB549A">
            <w:pPr>
              <w:spacing w:before="100" w:beforeAutospacing="1" w:after="100" w:afterAutospacing="1"/>
              <w:rPr>
                <w:color w:val="000000"/>
              </w:rPr>
            </w:pPr>
            <w:r w:rsidRPr="005231F7">
              <w:rPr>
                <w:color w:val="000000"/>
              </w:rPr>
              <w:t>Mathematics &amp; Sciences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KA</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rPr>
                <w:color w:val="000000"/>
              </w:rPr>
            </w:pPr>
            <w:r w:rsidRPr="005231F7">
              <w:rPr>
                <w:color w:val="000000"/>
              </w:rPr>
              <w:t>Beatty, Donna</w:t>
            </w:r>
          </w:p>
        </w:tc>
        <w:tc>
          <w:tcPr>
            <w:tcW w:w="3050" w:type="dxa"/>
          </w:tcPr>
          <w:p w:rsidR="00EE2D91" w:rsidRPr="005231F7" w:rsidRDefault="00EE2D91" w:rsidP="00EB549A">
            <w:pPr>
              <w:spacing w:before="100" w:beforeAutospacing="1" w:after="100" w:afterAutospacing="1"/>
              <w:rPr>
                <w:color w:val="000000"/>
              </w:rPr>
            </w:pPr>
            <w:r w:rsidRPr="005231F7">
              <w:rPr>
                <w:color w:val="000000"/>
              </w:rPr>
              <w:t>Mathematics &amp; Sciences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DB</w:t>
            </w: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0E5288"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spacing w:before="100" w:beforeAutospacing="1" w:after="100" w:afterAutospacing="1"/>
            </w:pPr>
            <w:r w:rsidRPr="005231F7">
              <w:t>Branca, Stephanie</w:t>
            </w:r>
          </w:p>
        </w:tc>
        <w:tc>
          <w:tcPr>
            <w:tcW w:w="3050" w:type="dxa"/>
          </w:tcPr>
          <w:p w:rsidR="00EE2D91" w:rsidRPr="005231F7" w:rsidRDefault="00EE2D91" w:rsidP="00EB549A">
            <w:pPr>
              <w:spacing w:before="100" w:beforeAutospacing="1" w:after="100" w:afterAutospacing="1"/>
              <w:rPr>
                <w:color w:val="000000"/>
              </w:rPr>
            </w:pPr>
            <w:r w:rsidRPr="005231F7">
              <w:rPr>
                <w:color w:val="000000"/>
              </w:rPr>
              <w:t>Career &amp; Technical Education</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SB</w:t>
            </w: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EE2D91"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EE2D91" w:rsidRPr="005231F7" w:rsidRDefault="00EE2D91" w:rsidP="00EB549A">
            <w:pPr>
              <w:spacing w:before="100" w:beforeAutospacing="1" w:after="100" w:afterAutospacing="1"/>
              <w:rPr>
                <w:rFonts w:cs="Times New Roman"/>
              </w:rPr>
            </w:pPr>
            <w:r w:rsidRPr="005231F7">
              <w:rPr>
                <w:color w:val="000000"/>
              </w:rPr>
              <w:t>Student Services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MCN</w:t>
            </w:r>
          </w:p>
        </w:tc>
        <w:tc>
          <w:tcPr>
            <w:tcW w:w="1080" w:type="dxa"/>
          </w:tcPr>
          <w:p w:rsidR="00EE2D91" w:rsidRPr="005231F7" w:rsidRDefault="000E5288"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EE2D91" w:rsidRPr="005231F7" w:rsidRDefault="00EE2D91" w:rsidP="00EB549A">
            <w:pPr>
              <w:spacing w:before="100" w:beforeAutospacing="1" w:after="100" w:afterAutospacing="1"/>
              <w:rPr>
                <w:rFonts w:cs="Times New Roman"/>
              </w:rPr>
            </w:pPr>
            <w:r w:rsidRPr="005231F7">
              <w:t>Senate Secretary</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CMC</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EE2D91" w:rsidRPr="005231F7" w:rsidRDefault="00EE2D91" w:rsidP="00EB549A">
            <w:pPr>
              <w:spacing w:before="100" w:beforeAutospacing="1" w:after="100" w:afterAutospacing="1"/>
              <w:rPr>
                <w:color w:val="000000"/>
              </w:rPr>
            </w:pPr>
            <w:r w:rsidRPr="005231F7">
              <w:rPr>
                <w:color w:val="000000"/>
              </w:rPr>
              <w:t>Career &amp; Technical Education</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HD</w:t>
            </w: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EE2D91"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pPr>
            <w:r w:rsidRPr="005231F7">
              <w:t>Forde, Richard</w:t>
            </w:r>
          </w:p>
        </w:tc>
        <w:tc>
          <w:tcPr>
            <w:tcW w:w="3050" w:type="dxa"/>
          </w:tcPr>
          <w:p w:rsidR="00EE2D91" w:rsidRPr="005231F7" w:rsidRDefault="00EE2D91" w:rsidP="00EB549A">
            <w:pPr>
              <w:spacing w:before="100" w:beforeAutospacing="1" w:after="100" w:afterAutospacing="1"/>
              <w:rPr>
                <w:rFonts w:cs="Times New Roman"/>
              </w:rPr>
            </w:pPr>
            <w:r w:rsidRPr="005231F7">
              <w:t>Career &amp; Technical Education</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RF</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0169D2" w:rsidRDefault="00EE2D91" w:rsidP="00EB549A">
            <w:pPr>
              <w:spacing w:before="100" w:beforeAutospacing="1" w:after="100" w:afterAutospacing="1"/>
              <w:rPr>
                <w:i/>
                <w:color w:val="000000"/>
              </w:rPr>
            </w:pPr>
            <w:r w:rsidRPr="00AE1671">
              <w:rPr>
                <w:color w:val="000000"/>
              </w:rPr>
              <w:t>Gardner</w:t>
            </w:r>
            <w:r>
              <w:rPr>
                <w:color w:val="000000"/>
              </w:rPr>
              <w:t>, Ty</w:t>
            </w:r>
          </w:p>
        </w:tc>
        <w:tc>
          <w:tcPr>
            <w:tcW w:w="3050" w:type="dxa"/>
          </w:tcPr>
          <w:p w:rsidR="00EE2D91" w:rsidRPr="005231F7" w:rsidRDefault="00EE2D91" w:rsidP="00EB549A">
            <w:pPr>
              <w:spacing w:before="100" w:beforeAutospacing="1" w:after="100" w:afterAutospacing="1"/>
              <w:rPr>
                <w:color w:val="000000"/>
              </w:rPr>
            </w:pPr>
            <w:r w:rsidRPr="005231F7">
              <w:rPr>
                <w:color w:val="000000"/>
              </w:rPr>
              <w:t>Mathematics &amp; Sciences</w:t>
            </w:r>
          </w:p>
        </w:tc>
        <w:tc>
          <w:tcPr>
            <w:tcW w:w="1082" w:type="dxa"/>
          </w:tcPr>
          <w:p w:rsidR="00EE2D91" w:rsidRPr="00AE1671" w:rsidRDefault="00EE2D91" w:rsidP="00EB549A">
            <w:pPr>
              <w:spacing w:before="100" w:beforeAutospacing="1" w:after="100" w:afterAutospacing="1"/>
              <w:rPr>
                <w:rFonts w:cs="Times New Roman"/>
              </w:rPr>
            </w:pPr>
            <w:r w:rsidRPr="00AE1671">
              <w:rPr>
                <w:rFonts w:cs="Times New Roman"/>
              </w:rPr>
              <w:t>TG</w:t>
            </w:r>
          </w:p>
        </w:tc>
        <w:tc>
          <w:tcPr>
            <w:tcW w:w="1080" w:type="dxa"/>
          </w:tcPr>
          <w:p w:rsidR="00EE2D91" w:rsidRPr="005231F7" w:rsidRDefault="00811FD2"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B4ED0" w:rsidRDefault="00EE2D91" w:rsidP="00EB549A">
            <w:pPr>
              <w:widowControl w:val="0"/>
              <w:autoSpaceDE w:val="0"/>
              <w:autoSpaceDN w:val="0"/>
              <w:adjustRightInd w:val="0"/>
              <w:spacing w:before="100" w:beforeAutospacing="1" w:after="100" w:afterAutospacing="1"/>
              <w:rPr>
                <w:i/>
              </w:rPr>
            </w:pPr>
            <w:r>
              <w:rPr>
                <w:i/>
              </w:rPr>
              <w:t>open</w:t>
            </w:r>
          </w:p>
        </w:tc>
        <w:tc>
          <w:tcPr>
            <w:tcW w:w="3050" w:type="dxa"/>
          </w:tcPr>
          <w:p w:rsidR="00EE2D91" w:rsidRPr="005231F7" w:rsidRDefault="00EE2D91" w:rsidP="00EB549A">
            <w:pPr>
              <w:spacing w:before="100" w:beforeAutospacing="1" w:after="100" w:afterAutospacing="1"/>
              <w:rPr>
                <w:rFonts w:cs="Times New Roman"/>
              </w:rPr>
            </w:pPr>
            <w:r w:rsidRPr="005231F7">
              <w:rPr>
                <w:rFonts w:cs="Times New Roman"/>
              </w:rPr>
              <w:t xml:space="preserve">ASVC </w:t>
            </w:r>
          </w:p>
        </w:tc>
        <w:tc>
          <w:tcPr>
            <w:tcW w:w="1082" w:type="dxa"/>
          </w:tcPr>
          <w:p w:rsidR="00EE2D91" w:rsidRPr="005231F7" w:rsidRDefault="00EE2D91" w:rsidP="00EB549A">
            <w:pPr>
              <w:spacing w:before="100" w:beforeAutospacing="1" w:after="100" w:afterAutospacing="1"/>
              <w:rPr>
                <w:rFonts w:cs="Times New Roman"/>
              </w:rPr>
            </w:pP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EE2D91"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pPr>
            <w:r w:rsidRPr="005231F7">
              <w:t>Hendricks, Bill</w:t>
            </w:r>
          </w:p>
        </w:tc>
        <w:tc>
          <w:tcPr>
            <w:tcW w:w="3050" w:type="dxa"/>
          </w:tcPr>
          <w:p w:rsidR="00EE2D91" w:rsidRPr="005231F7" w:rsidRDefault="00EE2D91" w:rsidP="00EB549A">
            <w:pPr>
              <w:spacing w:before="100" w:beforeAutospacing="1" w:after="100" w:afterAutospacing="1"/>
              <w:rPr>
                <w:rFonts w:cs="Times New Roman"/>
              </w:rPr>
            </w:pPr>
            <w:r w:rsidRPr="005231F7">
              <w:rPr>
                <w:rFonts w:cs="Times New Roman"/>
              </w:rPr>
              <w:t>Social Sciences &amp; Humanities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BH</w:t>
            </w: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0E5288"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pPr>
            <w:r w:rsidRPr="005231F7">
              <w:t>Horigan, Andrea</w:t>
            </w:r>
          </w:p>
        </w:tc>
        <w:tc>
          <w:tcPr>
            <w:tcW w:w="3050" w:type="dxa"/>
          </w:tcPr>
          <w:p w:rsidR="00EE2D91" w:rsidRPr="005231F7" w:rsidRDefault="00EE2D91" w:rsidP="00EB549A">
            <w:pPr>
              <w:spacing w:before="100" w:beforeAutospacing="1" w:after="100" w:afterAutospacing="1"/>
            </w:pPr>
            <w:r w:rsidRPr="005231F7">
              <w:rPr>
                <w:rFonts w:cs="Times New Roman"/>
              </w:rPr>
              <w:t>Social Sciences &amp; Humanities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AH</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pPr>
            <w:r w:rsidRPr="005231F7">
              <w:t>Kim, Henny</w:t>
            </w:r>
          </w:p>
        </w:tc>
        <w:tc>
          <w:tcPr>
            <w:tcW w:w="3050" w:type="dxa"/>
          </w:tcPr>
          <w:p w:rsidR="00EE2D91" w:rsidRPr="005231F7" w:rsidRDefault="00EE2D91" w:rsidP="00EB549A">
            <w:pPr>
              <w:spacing w:before="100" w:beforeAutospacing="1" w:after="100" w:afterAutospacing="1"/>
              <w:rPr>
                <w:rFonts w:cs="Times New Roman"/>
              </w:rPr>
            </w:pPr>
            <w:r w:rsidRPr="005231F7">
              <w:t>English &amp; Learning Resources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HK</w:t>
            </w:r>
          </w:p>
        </w:tc>
        <w:tc>
          <w:tcPr>
            <w:tcW w:w="1080" w:type="dxa"/>
          </w:tcPr>
          <w:p w:rsidR="00EE2D91" w:rsidRPr="005231F7" w:rsidRDefault="000E5288"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EE2D91" w:rsidRPr="005231F7" w:rsidRDefault="00EE2D91" w:rsidP="00EB549A">
            <w:pPr>
              <w:spacing w:before="100" w:beforeAutospacing="1" w:after="100" w:afterAutospacing="1"/>
              <w:rPr>
                <w:rFonts w:cs="Times New Roman"/>
              </w:rPr>
            </w:pPr>
            <w:r w:rsidRPr="005231F7">
              <w:t>Senate President</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AK</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pPr>
            <w:r w:rsidRPr="005231F7">
              <w:t>Martin, Amanda</w:t>
            </w:r>
          </w:p>
        </w:tc>
        <w:tc>
          <w:tcPr>
            <w:tcW w:w="3050" w:type="dxa"/>
          </w:tcPr>
          <w:p w:rsidR="00EE2D91" w:rsidRPr="005231F7" w:rsidRDefault="00EE2D91" w:rsidP="00EB549A">
            <w:pPr>
              <w:spacing w:before="100" w:beforeAutospacing="1" w:after="100" w:afterAutospacing="1"/>
              <w:rPr>
                <w:rFonts w:cs="Times New Roman"/>
              </w:rPr>
            </w:pPr>
            <w:r w:rsidRPr="005231F7">
              <w:t>English &amp; Learning Resources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AM</w:t>
            </w: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EE2D91"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EE2D91" w:rsidRPr="005231F7" w:rsidRDefault="00EE2D91" w:rsidP="00EB549A">
            <w:pPr>
              <w:spacing w:before="100" w:beforeAutospacing="1" w:after="100" w:afterAutospacing="1"/>
              <w:rPr>
                <w:rFonts w:cs="Times New Roman"/>
              </w:rPr>
            </w:pPr>
            <w:r w:rsidRPr="005231F7">
              <w:rPr>
                <w:color w:val="000000"/>
              </w:rPr>
              <w:t>Athletics, Kinesiology &amp; Health</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 xml:space="preserve">TM </w:t>
            </w:r>
          </w:p>
        </w:tc>
        <w:tc>
          <w:tcPr>
            <w:tcW w:w="1080" w:type="dxa"/>
          </w:tcPr>
          <w:p w:rsidR="00EE2D91" w:rsidRPr="005231F7" w:rsidRDefault="000E5288"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spacing w:before="100" w:beforeAutospacing="1" w:after="100" w:afterAutospacing="1"/>
            </w:pPr>
            <w:r w:rsidRPr="005231F7">
              <w:t>Mules, Ron</w:t>
            </w:r>
          </w:p>
        </w:tc>
        <w:tc>
          <w:tcPr>
            <w:tcW w:w="3050" w:type="dxa"/>
          </w:tcPr>
          <w:p w:rsidR="00EE2D91" w:rsidRPr="005231F7" w:rsidRDefault="00EE2D91" w:rsidP="00EB549A">
            <w:pPr>
              <w:spacing w:before="100" w:beforeAutospacing="1" w:after="100" w:afterAutospacing="1"/>
              <w:rPr>
                <w:color w:val="000000"/>
              </w:rPr>
            </w:pPr>
            <w:r w:rsidRPr="005231F7">
              <w:rPr>
                <w:color w:val="000000"/>
              </w:rPr>
              <w:t>Social Sciences &amp; Humanities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RM</w:t>
            </w:r>
          </w:p>
        </w:tc>
        <w:tc>
          <w:tcPr>
            <w:tcW w:w="1080" w:type="dxa"/>
          </w:tcPr>
          <w:p w:rsidR="00EE2D91" w:rsidRPr="005231F7" w:rsidRDefault="00EE2D91" w:rsidP="00EB549A">
            <w:pPr>
              <w:spacing w:before="100" w:beforeAutospacing="1" w:after="100" w:afterAutospacing="1"/>
              <w:rPr>
                <w:rFonts w:cs="Times New Roman"/>
              </w:rPr>
            </w:pPr>
          </w:p>
        </w:tc>
        <w:tc>
          <w:tcPr>
            <w:tcW w:w="990" w:type="dxa"/>
          </w:tcPr>
          <w:p w:rsidR="00EE2D91" w:rsidRPr="005231F7" w:rsidRDefault="00EE2D91" w:rsidP="00EB549A">
            <w:pPr>
              <w:spacing w:before="100" w:beforeAutospacing="1" w:after="100" w:afterAutospacing="1"/>
              <w:rPr>
                <w:rFonts w:cs="Times New Roman"/>
              </w:rPr>
            </w:pPr>
            <w:r>
              <w:rPr>
                <w:rFonts w:cs="Times New Roman"/>
              </w:rPr>
              <w:t>X</w:t>
            </w:r>
          </w:p>
        </w:tc>
      </w:tr>
      <w:tr w:rsidR="00EE2D91" w:rsidRPr="005231F7">
        <w:tc>
          <w:tcPr>
            <w:tcW w:w="2456" w:type="dxa"/>
          </w:tcPr>
          <w:p w:rsidR="00EE2D91" w:rsidRPr="005231F7" w:rsidRDefault="00EE2D91" w:rsidP="00EB549A">
            <w:pPr>
              <w:spacing w:before="100" w:beforeAutospacing="1" w:after="100" w:afterAutospacing="1"/>
            </w:pPr>
            <w:r w:rsidRPr="005231F7">
              <w:t>Munoz, Paula</w:t>
            </w:r>
          </w:p>
        </w:tc>
        <w:tc>
          <w:tcPr>
            <w:tcW w:w="3050" w:type="dxa"/>
          </w:tcPr>
          <w:p w:rsidR="00EE2D91" w:rsidRPr="005231F7" w:rsidRDefault="00EE2D91" w:rsidP="00EB549A">
            <w:pPr>
              <w:spacing w:before="100" w:beforeAutospacing="1" w:after="100" w:afterAutospacing="1"/>
              <w:rPr>
                <w:color w:val="000000"/>
              </w:rPr>
            </w:pPr>
            <w:r w:rsidRPr="005231F7">
              <w:rPr>
                <w:color w:val="000000"/>
              </w:rPr>
              <w:t>Student Services</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PM</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r w:rsidR="00EE2D91" w:rsidRPr="005231F7">
        <w:tc>
          <w:tcPr>
            <w:tcW w:w="2456" w:type="dxa"/>
          </w:tcPr>
          <w:p w:rsidR="00EE2D91" w:rsidRPr="005231F7" w:rsidRDefault="00EE2D91" w:rsidP="00EB549A">
            <w:pPr>
              <w:widowControl w:val="0"/>
              <w:autoSpaceDE w:val="0"/>
              <w:autoSpaceDN w:val="0"/>
              <w:adjustRightInd w:val="0"/>
              <w:spacing w:before="100" w:beforeAutospacing="1" w:after="100" w:afterAutospacing="1"/>
            </w:pPr>
            <w:r w:rsidRPr="005231F7">
              <w:t>Sezzi, Peter H.</w:t>
            </w:r>
          </w:p>
        </w:tc>
        <w:tc>
          <w:tcPr>
            <w:tcW w:w="3050" w:type="dxa"/>
          </w:tcPr>
          <w:p w:rsidR="00EE2D91" w:rsidRPr="005231F7" w:rsidRDefault="00EE2D91" w:rsidP="00EB549A">
            <w:pPr>
              <w:spacing w:before="100" w:beforeAutospacing="1" w:after="100" w:afterAutospacing="1"/>
            </w:pPr>
            <w:r w:rsidRPr="005231F7">
              <w:t>Senate Vice-President</w:t>
            </w:r>
          </w:p>
        </w:tc>
        <w:tc>
          <w:tcPr>
            <w:tcW w:w="1082" w:type="dxa"/>
          </w:tcPr>
          <w:p w:rsidR="00EE2D91" w:rsidRPr="005231F7" w:rsidRDefault="00EE2D91" w:rsidP="00EB549A">
            <w:pPr>
              <w:spacing w:before="100" w:beforeAutospacing="1" w:after="100" w:afterAutospacing="1"/>
              <w:rPr>
                <w:rFonts w:cs="Times New Roman"/>
              </w:rPr>
            </w:pPr>
            <w:r w:rsidRPr="005231F7">
              <w:rPr>
                <w:rFonts w:cs="Times New Roman"/>
              </w:rPr>
              <w:t>PHS</w:t>
            </w:r>
          </w:p>
        </w:tc>
        <w:tc>
          <w:tcPr>
            <w:tcW w:w="1080" w:type="dxa"/>
          </w:tcPr>
          <w:p w:rsidR="00EE2D91" w:rsidRPr="005231F7" w:rsidRDefault="00EE2D91" w:rsidP="00EB549A">
            <w:pPr>
              <w:spacing w:before="100" w:beforeAutospacing="1" w:after="100" w:afterAutospacing="1"/>
              <w:rPr>
                <w:rFonts w:cs="Times New Roman"/>
              </w:rPr>
            </w:pPr>
            <w:r>
              <w:rPr>
                <w:rFonts w:cs="Times New Roman"/>
              </w:rPr>
              <w:t>X</w:t>
            </w:r>
          </w:p>
        </w:tc>
        <w:tc>
          <w:tcPr>
            <w:tcW w:w="990" w:type="dxa"/>
          </w:tcPr>
          <w:p w:rsidR="00EE2D91" w:rsidRPr="005231F7" w:rsidRDefault="00EE2D91" w:rsidP="00EB549A">
            <w:pPr>
              <w:spacing w:before="100" w:beforeAutospacing="1" w:after="100" w:afterAutospacing="1"/>
              <w:rPr>
                <w:rFonts w:cs="Times New Roman"/>
              </w:rPr>
            </w:pPr>
          </w:p>
        </w:tc>
      </w:tr>
    </w:tbl>
    <w:p w:rsidR="00495F36" w:rsidRPr="00EE2D91" w:rsidRDefault="00495F36" w:rsidP="00EE2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495F36" w:rsidRPr="00875231"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Cs w:val="20"/>
        </w:rPr>
      </w:pPr>
      <w:r w:rsidRPr="00875231">
        <w:rPr>
          <w:rFonts w:ascii="Calibri" w:hAnsi="Calibri" w:cs="Calibri"/>
          <w:color w:val="000000"/>
          <w:szCs w:val="20"/>
        </w:rPr>
        <w:t xml:space="preserve">Public Comments Pursuant to the federal Americans with Disabilities Act, if you need any special accommodation or assistance to attend or participate in the meeting, please direct your written request, </w:t>
      </w:r>
      <w:r w:rsidRPr="00875231">
        <w:rPr>
          <w:rFonts w:ascii="Calibri" w:hAnsi="Calibri" w:cs="Calibri"/>
          <w:color w:val="000000"/>
          <w:szCs w:val="20"/>
        </w:rPr>
        <w:lastRenderedPageBreak/>
        <w:t>as far in advance of the meeting as possible, to Alex Kolesnik</w:t>
      </w:r>
      <w:r w:rsidR="004337C5" w:rsidRPr="00875231">
        <w:rPr>
          <w:rFonts w:ascii="Calibri" w:hAnsi="Calibri" w:cs="Calibri"/>
          <w:color w:val="000000"/>
          <w:szCs w:val="20"/>
        </w:rPr>
        <w:t>/Peter H. Sezzi</w:t>
      </w:r>
      <w:r w:rsidRPr="00875231">
        <w:rPr>
          <w:rFonts w:ascii="Calibri" w:hAnsi="Calibri" w:cs="Calibri"/>
          <w:color w:val="000000"/>
          <w:szCs w:val="20"/>
        </w:rPr>
        <w:t>, 4667 Telegrap</w:t>
      </w:r>
      <w:r w:rsidR="00947E68" w:rsidRPr="00875231">
        <w:rPr>
          <w:rFonts w:ascii="Calibri" w:hAnsi="Calibri" w:cs="Calibri"/>
          <w:color w:val="000000"/>
          <w:szCs w:val="20"/>
        </w:rPr>
        <w:t>h Road, Ventura CA, 93003.</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III. Acknowledgement of </w:t>
      </w:r>
      <w:r w:rsidR="00495F36">
        <w:rPr>
          <w:rFonts w:ascii="Calibri" w:hAnsi="Calibri" w:cs="Calibri"/>
          <w:color w:val="000000"/>
          <w:szCs w:val="22"/>
        </w:rPr>
        <w:t>Guests</w:t>
      </w:r>
      <w:r w:rsidR="00606BB7">
        <w:rPr>
          <w:rFonts w:ascii="Calibri" w:hAnsi="Calibri" w:cs="Calibri"/>
          <w:color w:val="000000"/>
          <w:szCs w:val="22"/>
        </w:rPr>
        <w:t>—Kathleen Schra</w:t>
      </w:r>
      <w:r w:rsidR="000E5288">
        <w:rPr>
          <w:rFonts w:ascii="Calibri" w:hAnsi="Calibri" w:cs="Calibri"/>
          <w:color w:val="000000"/>
          <w:szCs w:val="22"/>
        </w:rPr>
        <w:t>der (CTE Dean</w:t>
      </w:r>
      <w:r w:rsidR="00606BB7">
        <w:rPr>
          <w:rFonts w:ascii="Calibri" w:hAnsi="Calibri" w:cs="Calibri"/>
          <w:color w:val="000000"/>
          <w:szCs w:val="22"/>
        </w:rPr>
        <w:t>)</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IV. Informational Items</w:t>
      </w:r>
    </w:p>
    <w:p w:rsidR="005A2F90"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a.  Curriculum Committee Update</w:t>
      </w:r>
      <w:r w:rsidR="00606BB7">
        <w:rPr>
          <w:rFonts w:ascii="Calibri" w:hAnsi="Calibri" w:cs="Calibri"/>
          <w:color w:val="000000"/>
          <w:szCs w:val="22"/>
        </w:rPr>
        <w:t>—None.</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D9185C">
        <w:rPr>
          <w:rFonts w:ascii="Calibri" w:hAnsi="Calibri" w:cs="Calibri"/>
          <w:color w:val="000000"/>
          <w:szCs w:val="22"/>
        </w:rPr>
        <w:t>. Action</w:t>
      </w:r>
      <w:r>
        <w:rPr>
          <w:rFonts w:ascii="Calibri" w:hAnsi="Calibri" w:cs="Calibri"/>
          <w:color w:val="000000"/>
          <w:szCs w:val="22"/>
        </w:rPr>
        <w:t> Items  </w:t>
      </w:r>
    </w:p>
    <w:p w:rsidR="009872CB" w:rsidRPr="00185F17" w:rsidRDefault="009872CB" w:rsidP="00C750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185F17">
        <w:rPr>
          <w:rFonts w:asciiTheme="majorHAnsi" w:hAnsiTheme="majorHAnsi" w:cs="Calibri"/>
          <w:color w:val="000000"/>
          <w:szCs w:val="22"/>
        </w:rPr>
        <w:t>Minutes (</w:t>
      </w:r>
      <w:r w:rsidR="00185F17" w:rsidRPr="00185F17">
        <w:rPr>
          <w:rFonts w:asciiTheme="majorHAnsi" w:hAnsiTheme="majorHAnsi" w:cs="Calibri"/>
          <w:color w:val="000000"/>
          <w:szCs w:val="22"/>
        </w:rPr>
        <w:t>3/3</w:t>
      </w:r>
      <w:r w:rsidR="00606BB7">
        <w:rPr>
          <w:rFonts w:asciiTheme="majorHAnsi" w:hAnsiTheme="majorHAnsi" w:cs="Calibri"/>
          <w:color w:val="000000"/>
          <w:szCs w:val="22"/>
        </w:rPr>
        <w:t>/16)—Motion by RF; 2</w:t>
      </w:r>
      <w:r w:rsidR="00606BB7" w:rsidRPr="00606BB7">
        <w:rPr>
          <w:rFonts w:asciiTheme="majorHAnsi" w:hAnsiTheme="majorHAnsi" w:cs="Calibri"/>
          <w:color w:val="000000"/>
          <w:szCs w:val="22"/>
          <w:vertAlign w:val="superscript"/>
        </w:rPr>
        <w:t>nd</w:t>
      </w:r>
      <w:r w:rsidR="00606BB7">
        <w:rPr>
          <w:rFonts w:asciiTheme="majorHAnsi" w:hAnsiTheme="majorHAnsi" w:cs="Calibri"/>
          <w:color w:val="000000"/>
          <w:szCs w:val="22"/>
        </w:rPr>
        <w:t xml:space="preserve"> by TM.  Discussion:  Senators did not receive minutes until yesterday.  Motion tabled until next meeting.</w:t>
      </w:r>
    </w:p>
    <w:p w:rsidR="000E5288" w:rsidRDefault="000E5288" w:rsidP="000E528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185F17" w:rsidRPr="00185F17" w:rsidRDefault="00185F17"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185F17">
        <w:rPr>
          <w:rFonts w:ascii="Calibri" w:hAnsi="Calibri" w:cs="Calibri"/>
          <w:color w:val="000000"/>
          <w:szCs w:val="22"/>
        </w:rPr>
        <w:t>Peter: Resolution Re Division Reorganization</w:t>
      </w:r>
      <w:r w:rsidR="00EE2D91">
        <w:rPr>
          <w:rFonts w:ascii="Calibri" w:hAnsi="Calibri" w:cs="Calibri"/>
          <w:color w:val="000000"/>
          <w:szCs w:val="22"/>
        </w:rPr>
        <w:t>—Motion to approve as to 1</w:t>
      </w:r>
      <w:r w:rsidR="00EE2D91" w:rsidRPr="00EE2D91">
        <w:rPr>
          <w:rFonts w:ascii="Calibri" w:hAnsi="Calibri" w:cs="Calibri"/>
          <w:color w:val="000000"/>
          <w:szCs w:val="22"/>
          <w:vertAlign w:val="superscript"/>
        </w:rPr>
        <w:t>st</w:t>
      </w:r>
      <w:r w:rsidR="00EE2D91">
        <w:rPr>
          <w:rFonts w:ascii="Calibri" w:hAnsi="Calibri" w:cs="Calibri"/>
          <w:color w:val="000000"/>
          <w:szCs w:val="22"/>
        </w:rPr>
        <w:t xml:space="preserve"> &amp; 2</w:t>
      </w:r>
      <w:r w:rsidR="00EE2D91" w:rsidRPr="00EE2D91">
        <w:rPr>
          <w:rFonts w:ascii="Calibri" w:hAnsi="Calibri" w:cs="Calibri"/>
          <w:color w:val="000000"/>
          <w:szCs w:val="22"/>
          <w:vertAlign w:val="superscript"/>
        </w:rPr>
        <w:t>nd</w:t>
      </w:r>
      <w:r w:rsidR="00EE2D91">
        <w:rPr>
          <w:rFonts w:ascii="Calibri" w:hAnsi="Calibri" w:cs="Calibri"/>
          <w:color w:val="000000"/>
          <w:szCs w:val="22"/>
        </w:rPr>
        <w:t xml:space="preserve"> reading by PM; 2</w:t>
      </w:r>
      <w:r w:rsidR="00EE2D91" w:rsidRPr="00EE2D91">
        <w:rPr>
          <w:rFonts w:ascii="Calibri" w:hAnsi="Calibri" w:cs="Calibri"/>
          <w:color w:val="000000"/>
          <w:szCs w:val="22"/>
          <w:vertAlign w:val="superscript"/>
        </w:rPr>
        <w:t>nd</w:t>
      </w:r>
      <w:r w:rsidR="00EE2D91">
        <w:rPr>
          <w:rFonts w:ascii="Calibri" w:hAnsi="Calibri" w:cs="Calibri"/>
          <w:color w:val="000000"/>
          <w:szCs w:val="22"/>
        </w:rPr>
        <w:t xml:space="preserve"> by RF.  Vote is unanimous.  Senators direct AK to present this to the Executive Team and to the BOT when/if it comes to them as an agen</w:t>
      </w:r>
      <w:r w:rsidR="00811FD2">
        <w:rPr>
          <w:rFonts w:ascii="Calibri" w:hAnsi="Calibri" w:cs="Calibri"/>
          <w:color w:val="000000"/>
          <w:szCs w:val="22"/>
        </w:rPr>
        <w:t>dized item.  Senators direct AK</w:t>
      </w:r>
      <w:r w:rsidR="00EE2D91">
        <w:rPr>
          <w:rFonts w:ascii="Calibri" w:hAnsi="Calibri" w:cs="Calibri"/>
          <w:color w:val="000000"/>
          <w:szCs w:val="22"/>
        </w:rPr>
        <w:t xml:space="preserve"> to read this during his senate report to the BOT.  Also, he is to </w:t>
      </w:r>
      <w:r w:rsidR="00811FD2">
        <w:rPr>
          <w:rFonts w:ascii="Calibri" w:hAnsi="Calibri" w:cs="Calibri"/>
          <w:color w:val="000000"/>
          <w:szCs w:val="22"/>
        </w:rPr>
        <w:t>present this to the C</w:t>
      </w:r>
      <w:r w:rsidR="00EE2D91">
        <w:rPr>
          <w:rFonts w:ascii="Calibri" w:hAnsi="Calibri" w:cs="Calibri"/>
          <w:color w:val="000000"/>
          <w:szCs w:val="22"/>
        </w:rPr>
        <w:t xml:space="preserve">lassified </w:t>
      </w:r>
      <w:r w:rsidR="00811FD2">
        <w:rPr>
          <w:rFonts w:ascii="Calibri" w:hAnsi="Calibri" w:cs="Calibri"/>
          <w:color w:val="000000"/>
          <w:szCs w:val="22"/>
        </w:rPr>
        <w:t>S</w:t>
      </w:r>
      <w:r w:rsidR="00EE2D91">
        <w:rPr>
          <w:rFonts w:ascii="Calibri" w:hAnsi="Calibri" w:cs="Calibri"/>
          <w:color w:val="000000"/>
          <w:szCs w:val="22"/>
        </w:rPr>
        <w:t>enate.</w:t>
      </w:r>
    </w:p>
    <w:p w:rsidR="000E5288" w:rsidRDefault="000E5288" w:rsidP="000E528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7A1E3B" w:rsidRDefault="00185F17"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185F17">
        <w:rPr>
          <w:rFonts w:ascii="Calibri" w:hAnsi="Calibri" w:cs="Calibri"/>
          <w:color w:val="000000"/>
          <w:szCs w:val="22"/>
        </w:rPr>
        <w:t>IEPI Goals</w:t>
      </w:r>
      <w:r w:rsidR="00EB549A">
        <w:rPr>
          <w:rFonts w:ascii="Calibri" w:hAnsi="Calibri" w:cs="Calibri"/>
          <w:color w:val="000000"/>
          <w:szCs w:val="22"/>
        </w:rPr>
        <w:t>—AK distributes a handout re: IEPI to senators and walks them through what these numbers/goals mean.  AH asks AK if M</w:t>
      </w:r>
      <w:r w:rsidR="00811FD2">
        <w:rPr>
          <w:rFonts w:ascii="Calibri" w:hAnsi="Calibri" w:cs="Calibri"/>
          <w:color w:val="000000"/>
          <w:szCs w:val="22"/>
        </w:rPr>
        <w:t>C &amp; OC have weighed in on these?</w:t>
      </w:r>
      <w:r w:rsidR="00EB549A">
        <w:rPr>
          <w:rFonts w:ascii="Calibri" w:hAnsi="Calibri" w:cs="Calibri"/>
          <w:color w:val="000000"/>
          <w:szCs w:val="22"/>
        </w:rPr>
        <w:t xml:space="preserve">  AK answ</w:t>
      </w:r>
      <w:r w:rsidR="00811FD2">
        <w:rPr>
          <w:rFonts w:ascii="Calibri" w:hAnsi="Calibri" w:cs="Calibri"/>
          <w:color w:val="000000"/>
          <w:szCs w:val="22"/>
        </w:rPr>
        <w:t>ers that the 3 s</w:t>
      </w:r>
      <w:r w:rsidR="007A1E3B">
        <w:rPr>
          <w:rFonts w:ascii="Calibri" w:hAnsi="Calibri" w:cs="Calibri"/>
          <w:color w:val="000000"/>
          <w:szCs w:val="22"/>
        </w:rPr>
        <w:t>enate president</w:t>
      </w:r>
      <w:r w:rsidR="00EB549A">
        <w:rPr>
          <w:rFonts w:ascii="Calibri" w:hAnsi="Calibri" w:cs="Calibri"/>
          <w:color w:val="000000"/>
          <w:szCs w:val="22"/>
        </w:rPr>
        <w:t xml:space="preserve">s voted on these and </w:t>
      </w:r>
      <w:r w:rsidR="000F2FD7">
        <w:rPr>
          <w:rFonts w:ascii="Calibri" w:hAnsi="Calibri" w:cs="Calibri"/>
          <w:color w:val="000000"/>
          <w:szCs w:val="22"/>
        </w:rPr>
        <w:t xml:space="preserve">that the </w:t>
      </w:r>
      <w:r w:rsidR="00EB549A">
        <w:rPr>
          <w:rFonts w:ascii="Calibri" w:hAnsi="Calibri" w:cs="Calibri"/>
          <w:color w:val="000000"/>
          <w:szCs w:val="22"/>
        </w:rPr>
        <w:t>AFT budget analyst voted against these numbers in Goal #1, and #2 (no numbe</w:t>
      </w:r>
      <w:r w:rsidR="007A1E3B">
        <w:rPr>
          <w:rFonts w:ascii="Calibri" w:hAnsi="Calibri" w:cs="Calibri"/>
          <w:color w:val="000000"/>
          <w:szCs w:val="22"/>
        </w:rPr>
        <w:t>rs at all set for that</w:t>
      </w:r>
      <w:r w:rsidR="00EB549A">
        <w:rPr>
          <w:rFonts w:ascii="Calibri" w:hAnsi="Calibri" w:cs="Calibri"/>
          <w:color w:val="000000"/>
          <w:szCs w:val="22"/>
        </w:rPr>
        <w:t>).</w:t>
      </w:r>
      <w:r w:rsidR="007A1E3B">
        <w:rPr>
          <w:rFonts w:ascii="Calibri" w:hAnsi="Calibri" w:cs="Calibri"/>
          <w:color w:val="000000"/>
          <w:szCs w:val="22"/>
        </w:rPr>
        <w:t xml:space="preserve">  Senators further discuss.  They look at these numbers for other colleges around the state.</w:t>
      </w:r>
    </w:p>
    <w:p w:rsidR="007A1E3B" w:rsidRPr="007A1E3B" w:rsidRDefault="007A1E3B" w:rsidP="007A1E3B">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0F2FD7" w:rsidRDefault="007A1E3B"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t>Motion by MCN to support #1 as to a 25%/20% goal; 2</w:t>
      </w:r>
      <w:r w:rsidRPr="007A1E3B">
        <w:rPr>
          <w:rFonts w:ascii="Calibri" w:hAnsi="Calibri" w:cs="Calibri"/>
          <w:color w:val="000000"/>
          <w:szCs w:val="22"/>
          <w:vertAlign w:val="superscript"/>
        </w:rPr>
        <w:t>nd</w:t>
      </w:r>
      <w:r>
        <w:rPr>
          <w:rFonts w:ascii="Calibri" w:hAnsi="Calibri" w:cs="Calibri"/>
          <w:color w:val="000000"/>
          <w:szCs w:val="22"/>
        </w:rPr>
        <w:t xml:space="preserve"> by RF.  Vote: </w:t>
      </w:r>
      <w:r w:rsidR="000F2FD7">
        <w:rPr>
          <w:rFonts w:ascii="Calibri" w:hAnsi="Calibri" w:cs="Calibri"/>
          <w:color w:val="000000"/>
          <w:szCs w:val="22"/>
        </w:rPr>
        <w:t xml:space="preserve">all but </w:t>
      </w:r>
      <w:r>
        <w:rPr>
          <w:rFonts w:ascii="Calibri" w:hAnsi="Calibri" w:cs="Calibri"/>
          <w:color w:val="000000"/>
          <w:szCs w:val="22"/>
        </w:rPr>
        <w:t xml:space="preserve">CMC </w:t>
      </w:r>
      <w:r w:rsidR="000F2FD7">
        <w:rPr>
          <w:rFonts w:ascii="Calibri" w:hAnsi="Calibri" w:cs="Calibri"/>
          <w:color w:val="000000"/>
          <w:szCs w:val="22"/>
        </w:rPr>
        <w:t>who abstains.</w:t>
      </w:r>
    </w:p>
    <w:p w:rsidR="000F2FD7" w:rsidRDefault="000F2FD7"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0F2FD7" w:rsidRDefault="000F2FD7"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t>RF motion to not to set any goal for #2.  2</w:t>
      </w:r>
      <w:r w:rsidRPr="000F2FD7">
        <w:rPr>
          <w:rFonts w:ascii="Calibri" w:hAnsi="Calibri" w:cs="Calibri"/>
          <w:color w:val="000000"/>
          <w:szCs w:val="22"/>
          <w:vertAlign w:val="superscript"/>
        </w:rPr>
        <w:t>nd</w:t>
      </w:r>
      <w:r w:rsidR="00811FD2">
        <w:rPr>
          <w:rFonts w:ascii="Calibri" w:hAnsi="Calibri" w:cs="Calibri"/>
          <w:color w:val="000000"/>
          <w:szCs w:val="22"/>
        </w:rPr>
        <w:t xml:space="preserve"> by TG</w:t>
      </w:r>
      <w:r>
        <w:rPr>
          <w:rFonts w:ascii="Calibri" w:hAnsi="Calibri" w:cs="Calibri"/>
          <w:color w:val="000000"/>
          <w:szCs w:val="22"/>
        </w:rPr>
        <w:t>.  Discussion: PHS recommends that we not commit to any of these at this moment, but that we continue to discuss these.  In other words, we should not avoid these questions but we should not be sending this data to the state right now (when it is not required).  TG says that there is not much discussion to be had at this point—that is the difficulty.  Discussion continues.  Vote: Unanimous.</w:t>
      </w:r>
    </w:p>
    <w:p w:rsidR="000F2FD7" w:rsidRDefault="000F2FD7"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F57064" w:rsidRDefault="000F2FD7"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t>AH motions that we set no goal this year for #3 and #4.  2</w:t>
      </w:r>
      <w:r w:rsidRPr="000F2FD7">
        <w:rPr>
          <w:rFonts w:ascii="Calibri" w:hAnsi="Calibri" w:cs="Calibri"/>
          <w:color w:val="000000"/>
          <w:szCs w:val="22"/>
          <w:vertAlign w:val="superscript"/>
        </w:rPr>
        <w:t>nd</w:t>
      </w:r>
      <w:r>
        <w:rPr>
          <w:rFonts w:ascii="Calibri" w:hAnsi="Calibri" w:cs="Calibri"/>
          <w:color w:val="000000"/>
          <w:szCs w:val="22"/>
        </w:rPr>
        <w:t xml:space="preserve"> by PM.  Discussion: PHS raises his same concern (as to #2 above) and </w:t>
      </w:r>
      <w:r w:rsidR="00F0507C">
        <w:rPr>
          <w:rFonts w:ascii="Calibri" w:hAnsi="Calibri" w:cs="Calibri"/>
          <w:color w:val="000000"/>
          <w:szCs w:val="22"/>
        </w:rPr>
        <w:t>the senators further discuss implications of these numbers.</w:t>
      </w:r>
      <w:r w:rsidR="005F70A2">
        <w:rPr>
          <w:rFonts w:ascii="Calibri" w:hAnsi="Calibri" w:cs="Calibri"/>
          <w:color w:val="000000"/>
          <w:szCs w:val="22"/>
        </w:rPr>
        <w:t xml:space="preserve">  Vote: All in favor except PHS (opposed) and KA (abstain).</w:t>
      </w:r>
    </w:p>
    <w:p w:rsidR="00F57064" w:rsidRDefault="00F57064"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566618" w:rsidRDefault="00F57064"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t xml:space="preserve">#10 Re Student Success Scorecard.  It was decided at CPC that we would set a goal for this one (state requires that we choose one of the optional goals).  Senators look at VC’s scorecard and discuss.  KA raises the concern that we are choosing a number out of thin air—that we haven’t looked at any data or anything.  AH says it would be helpful to have the dates of all the new programs that we have implemented so we can consider their impact.  PM asks for clarification—where are we looking to set this target?  AK replies that the short-term target is not meaningful because we have limited ability to impact that number.  The long-term number is what do we want to see as an institution over the next 6 years.  TG suggests 45% as a long-term goal.  Senators discuss.  KA suggests asking the Student Success Committee to make a recommendation based on the data they have available to them.  TG reminds </w:t>
      </w:r>
      <w:r>
        <w:rPr>
          <w:rFonts w:ascii="Calibri" w:hAnsi="Calibri" w:cs="Calibri"/>
          <w:color w:val="000000"/>
          <w:szCs w:val="22"/>
        </w:rPr>
        <w:lastRenderedPageBreak/>
        <w:t xml:space="preserve">senators that we have a huge gap between demographic groups—that needs to be taken into account.  PM says she understands what TG is saying but that she would like to see this set high—it is </w:t>
      </w:r>
      <w:r w:rsidR="00811FD2">
        <w:rPr>
          <w:rFonts w:ascii="Calibri" w:hAnsi="Calibri" w:cs="Calibri"/>
          <w:color w:val="000000"/>
          <w:szCs w:val="22"/>
        </w:rPr>
        <w:t xml:space="preserve">an </w:t>
      </w:r>
      <w:r>
        <w:rPr>
          <w:rFonts w:ascii="Calibri" w:hAnsi="Calibri" w:cs="Calibri"/>
          <w:color w:val="000000"/>
          <w:szCs w:val="22"/>
        </w:rPr>
        <w:t>aspirational</w:t>
      </w:r>
      <w:r w:rsidR="00811FD2">
        <w:rPr>
          <w:rFonts w:ascii="Calibri" w:hAnsi="Calibri" w:cs="Calibri"/>
          <w:color w:val="000000"/>
          <w:szCs w:val="22"/>
        </w:rPr>
        <w:t xml:space="preserve"> goal</w:t>
      </w:r>
      <w:r>
        <w:rPr>
          <w:rFonts w:ascii="Calibri" w:hAnsi="Calibri" w:cs="Calibri"/>
          <w:color w:val="000000"/>
          <w:szCs w:val="22"/>
        </w:rPr>
        <w:t xml:space="preserve">.  </w:t>
      </w:r>
    </w:p>
    <w:p w:rsidR="00566618" w:rsidRDefault="00566618"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9872CB" w:rsidRPr="00185F17" w:rsidRDefault="00566618" w:rsidP="007A1E3B">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r>
        <w:rPr>
          <w:rFonts w:ascii="Calibri" w:hAnsi="Calibri" w:cs="Calibri"/>
          <w:color w:val="000000"/>
          <w:szCs w:val="22"/>
        </w:rPr>
        <w:t>PM motions to set short-term goal at 52% and long term goal at 60%. 2</w:t>
      </w:r>
      <w:r w:rsidRPr="00566618">
        <w:rPr>
          <w:rFonts w:ascii="Calibri" w:hAnsi="Calibri" w:cs="Calibri"/>
          <w:color w:val="000000"/>
          <w:szCs w:val="22"/>
          <w:vertAlign w:val="superscript"/>
        </w:rPr>
        <w:t>nd</w:t>
      </w:r>
      <w:r>
        <w:rPr>
          <w:rFonts w:ascii="Calibri" w:hAnsi="Calibri" w:cs="Calibri"/>
          <w:color w:val="000000"/>
          <w:szCs w:val="22"/>
        </w:rPr>
        <w:t xml:space="preserve"> by MCN.  Vote: HK, PM, MCN, PHS.  Opposed: KA, TM.  Abstain: RF, TG, AH, CMC.  Motion passes.</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D40A34"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AB557B">
        <w:rPr>
          <w:rFonts w:ascii="Calibri" w:hAnsi="Calibri" w:cs="Calibri"/>
          <w:color w:val="000000"/>
          <w:szCs w:val="22"/>
        </w:rPr>
        <w:t>I</w:t>
      </w:r>
      <w:r w:rsidR="00F16AC6">
        <w:rPr>
          <w:rFonts w:ascii="Calibri" w:hAnsi="Calibri" w:cs="Calibri"/>
          <w:color w:val="000000"/>
          <w:szCs w:val="22"/>
        </w:rPr>
        <w:t xml:space="preserve">. </w:t>
      </w:r>
      <w:r w:rsidR="00AB557B">
        <w:rPr>
          <w:rFonts w:ascii="Calibri" w:hAnsi="Calibri" w:cs="Calibri"/>
          <w:color w:val="000000"/>
          <w:szCs w:val="22"/>
        </w:rPr>
        <w:t>Discussion Items</w:t>
      </w:r>
    </w:p>
    <w:p w:rsidR="00185F17" w:rsidRPr="00185F17" w:rsidRDefault="00185F17" w:rsidP="00185F17">
      <w:pPr>
        <w:pStyle w:val="ListParagraph"/>
        <w:widowControl w:val="0"/>
        <w:numPr>
          <w:ilvl w:val="0"/>
          <w:numId w:val="1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185F17">
        <w:rPr>
          <w:rFonts w:ascii="Calibri" w:hAnsi="Calibri" w:cs="Calibri"/>
          <w:color w:val="000000"/>
          <w:szCs w:val="22"/>
        </w:rPr>
        <w:t>Discussion Standard II</w:t>
      </w:r>
      <w:r w:rsidR="005F7BD2">
        <w:rPr>
          <w:rFonts w:ascii="Calibri" w:hAnsi="Calibri" w:cs="Calibri"/>
          <w:color w:val="000000"/>
          <w:szCs w:val="22"/>
        </w:rPr>
        <w:t xml:space="preserve">—AK informs senators as to where the draft accreditation self-study is stored (i.e. Google docs) and how they can access it and make comments to it.  AH raises concern that she has not had sufficient time to review this since the senate agenda packet was distributed only yesterday.  AK acknowledges this but reminds senators that this is on the web and available to senators at any time.  KA says that she did not know until yesterday that this was going to be discussed so she would like notice if there is something online that senators are specifically tasked with.  </w:t>
      </w:r>
      <w:r w:rsidR="00E05299">
        <w:rPr>
          <w:rFonts w:ascii="Calibri" w:hAnsi="Calibri" w:cs="Calibri"/>
          <w:color w:val="000000"/>
          <w:szCs w:val="22"/>
        </w:rPr>
        <w:t xml:space="preserve">AK &amp; PHS discuss this.  </w:t>
      </w:r>
      <w:r w:rsidR="00F65CD4">
        <w:rPr>
          <w:rFonts w:ascii="Calibri" w:hAnsi="Calibri" w:cs="Calibri"/>
          <w:color w:val="000000"/>
          <w:szCs w:val="22"/>
        </w:rPr>
        <w:t xml:space="preserve">PHS </w:t>
      </w:r>
      <w:r w:rsidR="00E05299">
        <w:rPr>
          <w:rFonts w:ascii="Calibri" w:hAnsi="Calibri" w:cs="Calibri"/>
          <w:color w:val="000000"/>
          <w:szCs w:val="22"/>
        </w:rPr>
        <w:t xml:space="preserve">then directs senators that </w:t>
      </w:r>
      <w:r w:rsidR="00F65CD4">
        <w:rPr>
          <w:rFonts w:ascii="Calibri" w:hAnsi="Calibri" w:cs="Calibri"/>
          <w:color w:val="000000"/>
          <w:szCs w:val="22"/>
        </w:rPr>
        <w:t xml:space="preserve">in two weeks we will discuss this (Standard II)—senators are tasked with reading this and preparing comments.  </w:t>
      </w:r>
      <w:r w:rsidR="00E05299">
        <w:rPr>
          <w:rFonts w:ascii="Calibri" w:hAnsi="Calibri" w:cs="Calibri"/>
          <w:color w:val="000000"/>
          <w:szCs w:val="22"/>
        </w:rPr>
        <w:t>They will find the current document on the website.</w:t>
      </w:r>
    </w:p>
    <w:p w:rsidR="000E5288" w:rsidRDefault="000E5288" w:rsidP="000E528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D0502A" w:rsidRDefault="00185F17" w:rsidP="00D0502A">
      <w:pPr>
        <w:pStyle w:val="ListParagraph"/>
        <w:widowControl w:val="0"/>
        <w:numPr>
          <w:ilvl w:val="0"/>
          <w:numId w:val="1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185F17">
        <w:rPr>
          <w:rFonts w:ascii="Calibri" w:hAnsi="Calibri" w:cs="Calibri"/>
          <w:color w:val="000000"/>
          <w:szCs w:val="22"/>
        </w:rPr>
        <w:t>Open Educational Resources Resolution</w:t>
      </w:r>
      <w:r w:rsidR="00B63602">
        <w:rPr>
          <w:rFonts w:ascii="Calibri" w:hAnsi="Calibri" w:cs="Calibri"/>
          <w:color w:val="000000"/>
          <w:szCs w:val="22"/>
        </w:rPr>
        <w:t>—AK puts this document up on the screen and explains background to senators.  Resolution is read.  AK then explains process following (if) resolution is adopted.  To wit: we would be eligible for state monies to support these OER efforts.  AK asks if senators want this brought back as an action item?  Senators will take this back to their divisions and see if there is faculty support for this to move forward.</w:t>
      </w:r>
    </w:p>
    <w:p w:rsidR="000E5288" w:rsidRPr="00D0502A" w:rsidRDefault="000E5288" w:rsidP="00D0502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CB4192" w:rsidRDefault="00185F17" w:rsidP="009872CB">
      <w:pPr>
        <w:pStyle w:val="ListParagraph"/>
        <w:widowControl w:val="0"/>
        <w:numPr>
          <w:ilvl w:val="0"/>
          <w:numId w:val="1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185F17">
        <w:rPr>
          <w:rFonts w:ascii="Calibri" w:hAnsi="Calibri" w:cs="Calibri"/>
          <w:color w:val="000000"/>
          <w:szCs w:val="22"/>
        </w:rPr>
        <w:t>Senate Awards</w:t>
      </w:r>
      <w:r w:rsidR="00D0502A">
        <w:rPr>
          <w:rFonts w:ascii="Calibri" w:hAnsi="Calibri" w:cs="Calibri"/>
          <w:color w:val="000000"/>
          <w:szCs w:val="22"/>
        </w:rPr>
        <w:t>—AK will send this out online with a deadline of April 2</w:t>
      </w:r>
      <w:r w:rsidR="00D0502A" w:rsidRPr="00D0502A">
        <w:rPr>
          <w:rFonts w:ascii="Calibri" w:hAnsi="Calibri" w:cs="Calibri"/>
          <w:color w:val="000000"/>
          <w:szCs w:val="22"/>
          <w:vertAlign w:val="superscript"/>
        </w:rPr>
        <w:t>nd</w:t>
      </w:r>
      <w:r w:rsidR="00D0502A">
        <w:rPr>
          <w:rFonts w:ascii="Calibri" w:hAnsi="Calibri" w:cs="Calibri"/>
          <w:color w:val="000000"/>
          <w:szCs w:val="22"/>
        </w:rPr>
        <w:t>.  We can then announce the winners at the last senate meeting of the year</w:t>
      </w:r>
      <w:r w:rsidR="00CB4192">
        <w:rPr>
          <w:rFonts w:ascii="Calibri" w:hAnsi="Calibri" w:cs="Calibri"/>
          <w:color w:val="000000"/>
          <w:szCs w:val="22"/>
        </w:rPr>
        <w:t xml:space="preserve">.  </w:t>
      </w:r>
    </w:p>
    <w:p w:rsidR="00CB4192" w:rsidRPr="00CB4192" w:rsidRDefault="00CB4192" w:rsidP="00CB4192">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33631A" w:rsidRDefault="00CB4192" w:rsidP="009872CB">
      <w:pPr>
        <w:pStyle w:val="ListParagraph"/>
        <w:widowControl w:val="0"/>
        <w:numPr>
          <w:ilvl w:val="0"/>
          <w:numId w:val="1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EEOP Resolution—PM distributes to senators a resolution re: this.</w:t>
      </w:r>
      <w:r w:rsidR="00D0502A">
        <w:rPr>
          <w:rFonts w:ascii="Calibri" w:hAnsi="Calibri" w:cs="Calibri"/>
          <w:color w:val="000000"/>
          <w:szCs w:val="22"/>
        </w:rPr>
        <w:t xml:space="preserve"> </w:t>
      </w:r>
      <w:r>
        <w:rPr>
          <w:rFonts w:ascii="Calibri" w:hAnsi="Calibri" w:cs="Calibri"/>
          <w:color w:val="000000"/>
          <w:szCs w:val="22"/>
        </w:rPr>
        <w:t xml:space="preserve">She sits on the district EEOP committee.  There seems to be a disconnect between what the district EEOP committee thinks is happening and facts on the ground in hiring committees on campus.  She would like to see the implementation of an EEO officer within the district to oversee the diversity facilitators at each campus. </w:t>
      </w:r>
      <w:r w:rsidR="0033631A">
        <w:rPr>
          <w:rFonts w:ascii="Calibri" w:hAnsi="Calibri" w:cs="Calibri"/>
          <w:color w:val="000000"/>
          <w:szCs w:val="22"/>
        </w:rPr>
        <w:t>She asks senators to please look at this resolution –</w:t>
      </w:r>
      <w:r w:rsidR="0033631A" w:rsidRPr="00467B85">
        <w:rPr>
          <w:rFonts w:ascii="Calibri" w:hAnsi="Calibri" w:cs="Calibri"/>
          <w:color w:val="000000"/>
          <w:szCs w:val="22"/>
        </w:rPr>
        <w:t xml:space="preserve">this will come back next agenda as an action item. </w:t>
      </w:r>
      <w:r w:rsidR="0033631A">
        <w:rPr>
          <w:rFonts w:ascii="Calibri" w:hAnsi="Calibri" w:cs="Calibri"/>
          <w:b/>
          <w:color w:val="000000"/>
          <w:szCs w:val="22"/>
        </w:rPr>
        <w:t xml:space="preserve"> </w:t>
      </w:r>
      <w:r>
        <w:rPr>
          <w:rFonts w:ascii="Calibri" w:hAnsi="Calibri" w:cs="Calibri"/>
          <w:color w:val="000000"/>
          <w:szCs w:val="22"/>
        </w:rPr>
        <w:t xml:space="preserve"> </w:t>
      </w:r>
    </w:p>
    <w:p w:rsidR="0033631A" w:rsidRPr="0033631A" w:rsidRDefault="0033631A" w:rsidP="0033631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026F66" w:rsidRPr="0033631A" w:rsidRDefault="0033631A" w:rsidP="0033631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color w:val="000000"/>
          <w:szCs w:val="22"/>
        </w:rPr>
      </w:pPr>
      <w:r>
        <w:rPr>
          <w:rFonts w:ascii="Calibri" w:hAnsi="Calibri" w:cs="Calibri"/>
          <w:i/>
          <w:color w:val="000000"/>
          <w:szCs w:val="22"/>
        </w:rPr>
        <w:t>Time ran out and meeting adjourned at 3:30pm</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BD6553"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w:t>
      </w:r>
      <w:r w:rsidR="00AB557B">
        <w:rPr>
          <w:rFonts w:ascii="Calibri" w:hAnsi="Calibri" w:cs="Calibri"/>
          <w:color w:val="000000"/>
          <w:szCs w:val="22"/>
        </w:rPr>
        <w:t>I</w:t>
      </w:r>
      <w:r>
        <w:rPr>
          <w:rFonts w:ascii="Calibri" w:hAnsi="Calibri" w:cs="Calibri"/>
          <w:color w:val="000000"/>
          <w:szCs w:val="22"/>
        </w:rPr>
        <w:t xml:space="preserve">. Consent </w:t>
      </w:r>
      <w:r w:rsidR="00022462">
        <w:rPr>
          <w:rFonts w:ascii="Calibri" w:hAnsi="Calibri" w:cs="Calibri"/>
          <w:color w:val="000000"/>
          <w:szCs w:val="22"/>
        </w:rPr>
        <w:t>Items</w:t>
      </w:r>
      <w:r w:rsidR="00AC056F">
        <w:rPr>
          <w:rFonts w:ascii="Calibri" w:hAnsi="Calibri" w:cs="Calibri"/>
          <w:color w:val="000000"/>
          <w:szCs w:val="22"/>
        </w:rPr>
        <w:t xml:space="preserve"> – N</w:t>
      </w:r>
      <w:r w:rsidR="00C750C2">
        <w:rPr>
          <w:rFonts w:ascii="Calibri" w:hAnsi="Calibri" w:cs="Calibri"/>
          <w:color w:val="000000"/>
          <w:szCs w:val="22"/>
        </w:rPr>
        <w:t>one</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C056F" w:rsidRPr="00467B85"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color w:val="000000"/>
          <w:szCs w:val="22"/>
        </w:rPr>
      </w:pPr>
      <w:r>
        <w:rPr>
          <w:rFonts w:ascii="Calibri" w:hAnsi="Calibri" w:cs="Calibri"/>
          <w:color w:val="000000"/>
          <w:szCs w:val="22"/>
        </w:rPr>
        <w:t>VII</w:t>
      </w:r>
      <w:r w:rsidR="00AB557B">
        <w:rPr>
          <w:rFonts w:ascii="Calibri" w:hAnsi="Calibri" w:cs="Calibri"/>
          <w:color w:val="000000"/>
          <w:szCs w:val="22"/>
        </w:rPr>
        <w:t>I</w:t>
      </w:r>
      <w:r>
        <w:rPr>
          <w:rFonts w:ascii="Calibri" w:hAnsi="Calibri" w:cs="Calibri"/>
          <w:color w:val="000000"/>
          <w:szCs w:val="22"/>
        </w:rPr>
        <w:t>. President’s</w:t>
      </w:r>
      <w:r w:rsidR="00495F36">
        <w:rPr>
          <w:rFonts w:ascii="Calibri" w:hAnsi="Calibri" w:cs="Calibri"/>
          <w:color w:val="000000"/>
          <w:szCs w:val="22"/>
        </w:rPr>
        <w:t> Report</w:t>
      </w:r>
      <w:r w:rsidR="00467B85">
        <w:rPr>
          <w:rFonts w:ascii="Calibri" w:hAnsi="Calibri" w:cs="Calibri"/>
          <w:color w:val="000000"/>
          <w:szCs w:val="22"/>
        </w:rPr>
        <w:t>—</w:t>
      </w:r>
      <w:r w:rsidR="00467B85">
        <w:rPr>
          <w:rFonts w:ascii="Calibri" w:hAnsi="Calibri" w:cs="Calibri"/>
          <w:i/>
          <w:color w:val="000000"/>
          <w:szCs w:val="22"/>
        </w:rPr>
        <w:t>time ran out</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53E9F"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IX</w:t>
      </w:r>
      <w:r w:rsidR="00FF37C7">
        <w:rPr>
          <w:rFonts w:ascii="Calibri" w:hAnsi="Calibri" w:cs="Calibri"/>
          <w:color w:val="000000"/>
          <w:szCs w:val="22"/>
        </w:rPr>
        <w:t>. Senate Subcommittees</w:t>
      </w:r>
      <w:r w:rsidR="00E6555F">
        <w:rPr>
          <w:rFonts w:ascii="Calibri" w:hAnsi="Calibri" w:cs="Calibri"/>
          <w:color w:val="000000"/>
          <w:szCs w:val="22"/>
        </w:rPr>
        <w:t>/Task Forces/Work</w:t>
      </w:r>
      <w:r w:rsidR="00DA46E8">
        <w:rPr>
          <w:rFonts w:ascii="Calibri" w:hAnsi="Calibri" w:cs="Calibri"/>
          <w:color w:val="000000"/>
          <w:szCs w:val="22"/>
        </w:rPr>
        <w:t xml:space="preserve"> </w:t>
      </w:r>
      <w:r w:rsidR="00E6555F">
        <w:rPr>
          <w:rFonts w:ascii="Calibri" w:hAnsi="Calibri" w:cs="Calibri"/>
          <w:color w:val="000000"/>
          <w:szCs w:val="22"/>
        </w:rPr>
        <w:t>Groups</w:t>
      </w:r>
      <w:r w:rsidR="00FF37C7">
        <w:rPr>
          <w:rFonts w:ascii="Calibri" w:hAnsi="Calibri" w:cs="Calibri"/>
          <w:color w:val="000000"/>
          <w:szCs w:val="22"/>
        </w:rPr>
        <w:t xml:space="preserve"> R</w:t>
      </w:r>
      <w:r w:rsidR="00495F36">
        <w:rPr>
          <w:rFonts w:ascii="Calibri" w:hAnsi="Calibri" w:cs="Calibri"/>
          <w:color w:val="000000"/>
          <w:szCs w:val="22"/>
        </w:rPr>
        <w:t xml:space="preserve">eports </w:t>
      </w:r>
      <w:r w:rsidR="00467B85">
        <w:rPr>
          <w:rFonts w:ascii="Calibri" w:hAnsi="Calibri" w:cs="Calibri"/>
          <w:color w:val="000000"/>
          <w:szCs w:val="22"/>
        </w:rPr>
        <w:t>—</w:t>
      </w:r>
      <w:r w:rsidR="00467B85">
        <w:rPr>
          <w:rFonts w:ascii="Calibri" w:hAnsi="Calibri" w:cs="Calibri"/>
          <w:i/>
          <w:color w:val="000000"/>
          <w:szCs w:val="22"/>
        </w:rPr>
        <w:t>time ran out</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 Campus Committees R</w:t>
      </w:r>
      <w:r w:rsidR="00495F36">
        <w:rPr>
          <w:rFonts w:ascii="Calibri" w:hAnsi="Calibri" w:cs="Calibri"/>
          <w:color w:val="000000"/>
          <w:szCs w:val="22"/>
        </w:rPr>
        <w:t xml:space="preserve">eports </w:t>
      </w:r>
      <w:r w:rsidR="00467B85">
        <w:rPr>
          <w:rFonts w:ascii="Calibri" w:hAnsi="Calibri" w:cs="Calibri"/>
          <w:color w:val="000000"/>
          <w:szCs w:val="22"/>
        </w:rPr>
        <w:t>—</w:t>
      </w:r>
      <w:r w:rsidR="00467B85">
        <w:rPr>
          <w:rFonts w:ascii="Calibri" w:hAnsi="Calibri" w:cs="Calibri"/>
          <w:i/>
          <w:color w:val="000000"/>
          <w:szCs w:val="22"/>
        </w:rPr>
        <w:t>time ran out</w:t>
      </w:r>
      <w:r w:rsidR="00495F36">
        <w:rPr>
          <w:rFonts w:ascii="Calibri" w:hAnsi="Calibri" w:cs="Calibri"/>
          <w:color w:val="000000"/>
          <w:szCs w:val="22"/>
        </w:rPr>
        <w:t xml:space="preserve">  </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w:t>
      </w:r>
      <w:r w:rsidR="00AB557B">
        <w:rPr>
          <w:rFonts w:ascii="Calibri" w:hAnsi="Calibri" w:cs="Calibri"/>
          <w:color w:val="000000"/>
          <w:szCs w:val="22"/>
        </w:rPr>
        <w:t>I</w:t>
      </w:r>
      <w:r>
        <w:rPr>
          <w:rFonts w:ascii="Calibri" w:hAnsi="Calibri" w:cs="Calibri"/>
          <w:color w:val="000000"/>
          <w:szCs w:val="22"/>
        </w:rPr>
        <w:t>. Announce</w:t>
      </w:r>
      <w:r w:rsidR="00706CE8">
        <w:rPr>
          <w:rFonts w:ascii="Calibri" w:hAnsi="Calibri" w:cs="Calibri"/>
          <w:color w:val="000000"/>
          <w:szCs w:val="22"/>
        </w:rPr>
        <w:t xml:space="preserve">ments for the Good of the </w:t>
      </w:r>
      <w:r>
        <w:rPr>
          <w:rFonts w:ascii="Calibri" w:hAnsi="Calibri" w:cs="Calibri"/>
          <w:color w:val="000000"/>
          <w:szCs w:val="22"/>
        </w:rPr>
        <w:t xml:space="preserve">Order </w:t>
      </w:r>
      <w:r w:rsidR="00467B85">
        <w:rPr>
          <w:rFonts w:ascii="Calibri" w:hAnsi="Calibri" w:cs="Calibri"/>
          <w:color w:val="000000"/>
          <w:szCs w:val="22"/>
        </w:rPr>
        <w:t>—</w:t>
      </w:r>
      <w:r w:rsidR="00467B85">
        <w:rPr>
          <w:rFonts w:ascii="Calibri" w:hAnsi="Calibri" w:cs="Calibri"/>
          <w:i/>
          <w:color w:val="000000"/>
          <w:szCs w:val="22"/>
        </w:rPr>
        <w:t>time ran out</w:t>
      </w:r>
      <w:r>
        <w:rPr>
          <w:rFonts w:ascii="Calibri" w:hAnsi="Calibri" w:cs="Calibri"/>
          <w:color w:val="000000"/>
          <w:szCs w:val="22"/>
        </w:rPr>
        <w:t xml:space="preserve">  </w:t>
      </w:r>
    </w:p>
    <w:p w:rsidR="000E5288" w:rsidRDefault="000E528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lastRenderedPageBreak/>
        <w:t>XI</w:t>
      </w:r>
      <w:r w:rsidR="00AB557B">
        <w:rPr>
          <w:rFonts w:ascii="Calibri" w:hAnsi="Calibri" w:cs="Calibri"/>
          <w:color w:val="000000"/>
          <w:szCs w:val="22"/>
        </w:rPr>
        <w:t>I</w:t>
      </w:r>
      <w:r>
        <w:rPr>
          <w:rFonts w:ascii="Calibri" w:hAnsi="Calibri" w:cs="Calibri"/>
          <w:color w:val="000000"/>
          <w:szCs w:val="22"/>
        </w:rPr>
        <w:t xml:space="preserve">. Requests for Future Agenda </w:t>
      </w:r>
      <w:r w:rsidR="00495F36">
        <w:rPr>
          <w:rFonts w:ascii="Calibri" w:hAnsi="Calibri" w:cs="Calibri"/>
          <w:color w:val="000000"/>
          <w:szCs w:val="22"/>
        </w:rPr>
        <w:t xml:space="preserve">Items </w:t>
      </w:r>
      <w:r w:rsidR="00467B85">
        <w:rPr>
          <w:rFonts w:ascii="Calibri" w:hAnsi="Calibri" w:cs="Calibri"/>
          <w:color w:val="000000"/>
          <w:szCs w:val="22"/>
        </w:rPr>
        <w:t>—</w:t>
      </w:r>
      <w:r w:rsidR="00467B85">
        <w:rPr>
          <w:rFonts w:ascii="Calibri" w:hAnsi="Calibri" w:cs="Calibri"/>
          <w:i/>
          <w:color w:val="000000"/>
          <w:szCs w:val="22"/>
        </w:rPr>
        <w:t>time ran out</w:t>
      </w:r>
      <w:r w:rsidR="00495F36">
        <w:rPr>
          <w:rFonts w:ascii="Calibri" w:hAnsi="Calibri" w:cs="Calibri"/>
          <w:color w:val="000000"/>
          <w:szCs w:val="22"/>
        </w:rPr>
        <w:t xml:space="preserve">  </w:t>
      </w:r>
    </w:p>
    <w:p w:rsidR="000E5288" w:rsidRDefault="000E5288"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D40A34"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XII</w:t>
      </w:r>
      <w:r w:rsidR="00AB557B">
        <w:rPr>
          <w:rFonts w:ascii="Calibri" w:hAnsi="Calibri" w:cs="Calibri"/>
          <w:color w:val="000000"/>
          <w:szCs w:val="22"/>
        </w:rPr>
        <w:t>I</w:t>
      </w:r>
      <w:r w:rsidR="00467B85">
        <w:rPr>
          <w:rFonts w:ascii="Calibri" w:hAnsi="Calibri" w:cs="Calibri"/>
          <w:color w:val="000000"/>
          <w:szCs w:val="22"/>
        </w:rPr>
        <w:t>. Adjournment at 3:30pm.</w:t>
      </w:r>
    </w:p>
    <w:p w:rsidR="005D0D71"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sz w:val="20"/>
        </w:rPr>
      </w:pPr>
    </w:p>
    <w:p w:rsidR="00002465"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0"/>
        </w:rPr>
      </w:pPr>
      <w:r>
        <w:rPr>
          <w:rFonts w:asciiTheme="majorHAnsi" w:hAnsiTheme="majorHAnsi" w:cs="Lucida Grande"/>
          <w:color w:val="7F7F7F" w:themeColor="text1" w:themeTint="80"/>
          <w:sz w:val="20"/>
        </w:rPr>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p>
    <w:p w:rsidR="002C0987" w:rsidRPr="002C0987" w:rsidRDefault="002C0987" w:rsidP="002C0987">
      <w:pPr>
        <w:widowControl w:val="0"/>
        <w:autoSpaceDE w:val="0"/>
        <w:autoSpaceDN w:val="0"/>
        <w:adjustRightInd w:val="0"/>
        <w:spacing w:after="24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Senate means an organization whose primary function is to make recommendations with respect to academic and professional matters.</w:t>
      </w: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and Professional matters means the following policy development matters:</w:t>
      </w:r>
    </w:p>
    <w:p w:rsid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443B36"/>
          <w:sz w:val="24"/>
        </w:rPr>
      </w:pP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 Curriculum, including establishing prerequisites.</w:t>
      </w:r>
      <w:r w:rsidRPr="002C0987">
        <w:rPr>
          <w:rFonts w:asciiTheme="majorHAnsi" w:hAnsiTheme="majorHAnsi" w:cs="Lucida Grande"/>
          <w:color w:val="7F7F7F" w:themeColor="text1" w:themeTint="80"/>
          <w:sz w:val="20"/>
        </w:rPr>
        <w:br/>
        <w:t>2. Degree and certificate requirements.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3. Grading policies.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4. Educational program development.</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5. Standards or policies regarding student preparation and success.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6. College governance structures, as related to faculty roles.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7. Faculty roles and involvement in accreditation processes.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8. Policies for faculty professional development activities.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9. Processes for program review.</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10. Processes for institutional planning and budget development.</w:t>
      </w:r>
    </w:p>
    <w:p w:rsidR="00495F36"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0"/>
          <w:szCs w:val="22"/>
        </w:rPr>
      </w:pPr>
      <w:r w:rsidRPr="002C0987">
        <w:rPr>
          <w:rFonts w:asciiTheme="majorHAnsi" w:hAnsiTheme="majorHAnsi" w:cs="Lucida Grande"/>
          <w:color w:val="7F7F7F" w:themeColor="text1" w:themeTint="80"/>
          <w:sz w:val="20"/>
        </w:rPr>
        <w:t>11. Other academic and professional matters as mutually agreed upon.</w:t>
      </w:r>
    </w:p>
    <w:p w:rsidR="00F127E6" w:rsidRPr="002C0987" w:rsidRDefault="00F127E6">
      <w:pPr>
        <w:rPr>
          <w:rFonts w:asciiTheme="majorHAnsi" w:hAnsiTheme="majorHAnsi"/>
          <w:color w:val="7F7F7F" w:themeColor="text1" w:themeTint="80"/>
          <w:sz w:val="20"/>
        </w:rPr>
      </w:pPr>
    </w:p>
    <w:sectPr w:rsidR="00F127E6" w:rsidRPr="002C0987" w:rsidSect="00EE2D91">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84" w:rsidRDefault="007A2184">
      <w:r>
        <w:separator/>
      </w:r>
    </w:p>
  </w:endnote>
  <w:endnote w:type="continuationSeparator" w:id="0">
    <w:p w:rsidR="007A2184" w:rsidRDefault="007A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84" w:rsidRDefault="007A2184">
      <w:r>
        <w:separator/>
      </w:r>
    </w:p>
  </w:footnote>
  <w:footnote w:type="continuationSeparator" w:id="0">
    <w:p w:rsidR="007A2184" w:rsidRDefault="007A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39" w:rsidRDefault="007A2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4417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39" w:rsidRDefault="007A2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4417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39" w:rsidRDefault="007A2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4417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2C78202F"/>
    <w:multiLevelType w:val="hybridMultilevel"/>
    <w:tmpl w:val="19BCADE0"/>
    <w:lvl w:ilvl="0" w:tplc="2C6EE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9"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0"/>
  </w:num>
  <w:num w:numId="2">
    <w:abstractNumId w:val="2"/>
  </w:num>
  <w:num w:numId="3">
    <w:abstractNumId w:val="5"/>
  </w:num>
  <w:num w:numId="4">
    <w:abstractNumId w:val="7"/>
  </w:num>
  <w:num w:numId="5">
    <w:abstractNumId w:val="4"/>
  </w:num>
  <w:num w:numId="6">
    <w:abstractNumId w:val="8"/>
  </w:num>
  <w:num w:numId="7">
    <w:abstractNumId w:val="0"/>
  </w:num>
  <w:num w:numId="8">
    <w:abstractNumId w:val="6"/>
  </w:num>
  <w:num w:numId="9">
    <w:abstractNumId w:val="11"/>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839F9"/>
    <w:rsid w:val="000A0982"/>
    <w:rsid w:val="000A589F"/>
    <w:rsid w:val="000D7E4D"/>
    <w:rsid w:val="000E5288"/>
    <w:rsid w:val="000F2FD7"/>
    <w:rsid w:val="00153F7B"/>
    <w:rsid w:val="00154ED8"/>
    <w:rsid w:val="00185F17"/>
    <w:rsid w:val="002200B2"/>
    <w:rsid w:val="00220166"/>
    <w:rsid w:val="00284DE4"/>
    <w:rsid w:val="002932E3"/>
    <w:rsid w:val="002A0571"/>
    <w:rsid w:val="002C0987"/>
    <w:rsid w:val="002F1F3D"/>
    <w:rsid w:val="003034F9"/>
    <w:rsid w:val="00320AEA"/>
    <w:rsid w:val="00324984"/>
    <w:rsid w:val="0033631A"/>
    <w:rsid w:val="00343814"/>
    <w:rsid w:val="003576BA"/>
    <w:rsid w:val="0039063F"/>
    <w:rsid w:val="003A7349"/>
    <w:rsid w:val="003F1F41"/>
    <w:rsid w:val="003F7E07"/>
    <w:rsid w:val="0042378B"/>
    <w:rsid w:val="004337C5"/>
    <w:rsid w:val="00435FC6"/>
    <w:rsid w:val="00441277"/>
    <w:rsid w:val="0046406E"/>
    <w:rsid w:val="00467B85"/>
    <w:rsid w:val="004772CB"/>
    <w:rsid w:val="0049283E"/>
    <w:rsid w:val="00493A58"/>
    <w:rsid w:val="00495F36"/>
    <w:rsid w:val="00540729"/>
    <w:rsid w:val="00551D16"/>
    <w:rsid w:val="00561FFA"/>
    <w:rsid w:val="0056250E"/>
    <w:rsid w:val="00566618"/>
    <w:rsid w:val="00585CA1"/>
    <w:rsid w:val="005A2F90"/>
    <w:rsid w:val="005D0D71"/>
    <w:rsid w:val="005D1EC3"/>
    <w:rsid w:val="005E24F3"/>
    <w:rsid w:val="005F70A2"/>
    <w:rsid w:val="005F7BD2"/>
    <w:rsid w:val="00606BB7"/>
    <w:rsid w:val="00614B63"/>
    <w:rsid w:val="0065396C"/>
    <w:rsid w:val="00657779"/>
    <w:rsid w:val="006C287B"/>
    <w:rsid w:val="006D51BE"/>
    <w:rsid w:val="006D5B68"/>
    <w:rsid w:val="0070087B"/>
    <w:rsid w:val="00706CE8"/>
    <w:rsid w:val="007A1E3B"/>
    <w:rsid w:val="007A2184"/>
    <w:rsid w:val="007B38E4"/>
    <w:rsid w:val="007E78FB"/>
    <w:rsid w:val="00811FD2"/>
    <w:rsid w:val="00875231"/>
    <w:rsid w:val="008E1F24"/>
    <w:rsid w:val="00924D9A"/>
    <w:rsid w:val="00947E68"/>
    <w:rsid w:val="009501BA"/>
    <w:rsid w:val="0097454B"/>
    <w:rsid w:val="0098209D"/>
    <w:rsid w:val="009872CB"/>
    <w:rsid w:val="009F4160"/>
    <w:rsid w:val="00A00905"/>
    <w:rsid w:val="00A53E9F"/>
    <w:rsid w:val="00AB557B"/>
    <w:rsid w:val="00AC056F"/>
    <w:rsid w:val="00AC15E6"/>
    <w:rsid w:val="00B109F2"/>
    <w:rsid w:val="00B63602"/>
    <w:rsid w:val="00BA57D4"/>
    <w:rsid w:val="00BD6553"/>
    <w:rsid w:val="00BE1EBD"/>
    <w:rsid w:val="00C010D2"/>
    <w:rsid w:val="00C750C2"/>
    <w:rsid w:val="00CB4192"/>
    <w:rsid w:val="00D0502A"/>
    <w:rsid w:val="00D40A34"/>
    <w:rsid w:val="00D64BD2"/>
    <w:rsid w:val="00D73339"/>
    <w:rsid w:val="00D85374"/>
    <w:rsid w:val="00D9185C"/>
    <w:rsid w:val="00DA46E8"/>
    <w:rsid w:val="00DD7431"/>
    <w:rsid w:val="00E05299"/>
    <w:rsid w:val="00E42417"/>
    <w:rsid w:val="00E64346"/>
    <w:rsid w:val="00E6555F"/>
    <w:rsid w:val="00EB1193"/>
    <w:rsid w:val="00EB3041"/>
    <w:rsid w:val="00EB549A"/>
    <w:rsid w:val="00EE2D91"/>
    <w:rsid w:val="00EE2E5D"/>
    <w:rsid w:val="00F0507C"/>
    <w:rsid w:val="00F127E6"/>
    <w:rsid w:val="00F14C79"/>
    <w:rsid w:val="00F16AC6"/>
    <w:rsid w:val="00F3257E"/>
    <w:rsid w:val="00F36E77"/>
    <w:rsid w:val="00F57064"/>
    <w:rsid w:val="00F65CD4"/>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6018934-A157-44B6-9616-26CFE5FE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6569</Characters>
  <Application>Microsoft Office Word</Application>
  <DocSecurity>0</DocSecurity>
  <Lines>205</Lines>
  <Paragraphs>186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2016-04-04T18:36:00Z</dcterms:created>
  <dcterms:modified xsi:type="dcterms:W3CDTF">2016-04-04T18:36:00Z</dcterms:modified>
</cp:coreProperties>
</file>