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1C" w:rsidRPr="00D938F4" w:rsidRDefault="00A10B1C" w:rsidP="00A10B1C">
      <w:pPr>
        <w:jc w:val="center"/>
        <w:rPr>
          <w:rFonts w:ascii="Tahoma" w:hAnsi="Tahoma" w:cs="Tahoma"/>
          <w:b/>
          <w:u w:val="single"/>
        </w:rPr>
      </w:pPr>
      <w:r w:rsidRPr="00D938F4">
        <w:rPr>
          <w:rFonts w:ascii="Tahoma" w:hAnsi="Tahoma" w:cs="Tahoma"/>
          <w:b/>
          <w:u w:val="single"/>
        </w:rPr>
        <w:t>VENTURA COLLEGE</w:t>
      </w:r>
    </w:p>
    <w:p w:rsidR="00A10B1C" w:rsidRPr="00D938F4" w:rsidRDefault="00FE5EEC" w:rsidP="00A10B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DRAFT - </w:t>
      </w:r>
      <w:r w:rsidR="00A10B1C" w:rsidRPr="00D938F4">
        <w:rPr>
          <w:rFonts w:ascii="Tahoma" w:hAnsi="Tahoma" w:cs="Tahoma"/>
          <w:b/>
          <w:u w:val="single"/>
        </w:rPr>
        <w:t xml:space="preserve">Budget and Resource Council (BRC) </w:t>
      </w:r>
      <w:r w:rsidR="008B2B19">
        <w:rPr>
          <w:rFonts w:ascii="Tahoma" w:hAnsi="Tahoma" w:cs="Tahoma"/>
          <w:b/>
          <w:u w:val="single"/>
        </w:rPr>
        <w:t>–</w:t>
      </w:r>
      <w:r w:rsidR="00A10B1C" w:rsidRPr="00D938F4">
        <w:rPr>
          <w:rFonts w:ascii="Tahoma" w:hAnsi="Tahoma" w:cs="Tahoma"/>
          <w:b/>
          <w:u w:val="single"/>
        </w:rPr>
        <w:t xml:space="preserve"> Minutes</w:t>
      </w:r>
    </w:p>
    <w:p w:rsidR="00A10B1C" w:rsidRPr="00D938F4" w:rsidRDefault="00A10B1C" w:rsidP="00A10B1C">
      <w:pPr>
        <w:jc w:val="center"/>
        <w:rPr>
          <w:rFonts w:ascii="Tahoma" w:hAnsi="Tahoma" w:cs="Tahoma"/>
          <w:b/>
        </w:rPr>
      </w:pPr>
      <w:r w:rsidRPr="00D938F4">
        <w:rPr>
          <w:rFonts w:ascii="Tahoma" w:hAnsi="Tahoma" w:cs="Tahoma"/>
          <w:b/>
        </w:rPr>
        <w:t>Campus Center Conference Room</w:t>
      </w:r>
    </w:p>
    <w:p w:rsidR="00A10B1C" w:rsidRDefault="00E972BE" w:rsidP="00A10B1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September 17</w:t>
      </w:r>
      <w:r w:rsidR="00A10B1C">
        <w:rPr>
          <w:rFonts w:ascii="Tahoma" w:hAnsi="Tahoma" w:cs="Tahoma"/>
          <w:b/>
        </w:rPr>
        <w:t>, 2014</w:t>
      </w:r>
    </w:p>
    <w:p w:rsidR="00A10B1C" w:rsidRDefault="00A10B1C" w:rsidP="00A10B1C">
      <w:pPr>
        <w:ind w:left="1440" w:hanging="1440"/>
        <w:rPr>
          <w:rFonts w:ascii="Tahoma" w:hAnsi="Tahoma" w:cs="Tahoma"/>
          <w:b/>
          <w:sz w:val="20"/>
          <w:szCs w:val="20"/>
        </w:rPr>
      </w:pPr>
    </w:p>
    <w:p w:rsidR="00372BE6" w:rsidRDefault="00A10B1C" w:rsidP="00372BE6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bidi="he-IL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bidi="he-IL"/>
        </w:rPr>
        <w:t xml:space="preserve">  </w:t>
      </w:r>
    </w:p>
    <w:p w:rsidR="00A10B1C" w:rsidRDefault="00A10B1C" w:rsidP="00E972BE">
      <w:pPr>
        <w:ind w:left="1440" w:hanging="1440"/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>Present:</w:t>
      </w:r>
      <w:r w:rsidRPr="00A039C9">
        <w:rPr>
          <w:rFonts w:ascii="Tahoma" w:hAnsi="Tahoma" w:cs="Tahoma"/>
          <w:sz w:val="20"/>
          <w:szCs w:val="20"/>
        </w:rPr>
        <w:tab/>
      </w:r>
      <w:r w:rsidR="00E972BE">
        <w:rPr>
          <w:rFonts w:ascii="Tahoma" w:hAnsi="Tahoma" w:cs="Tahoma"/>
          <w:sz w:val="20"/>
          <w:szCs w:val="20"/>
        </w:rPr>
        <w:t>Adam Braver</w:t>
      </w:r>
      <w:r w:rsidR="00136D8E">
        <w:rPr>
          <w:rFonts w:ascii="Tahoma" w:hAnsi="Tahoma" w:cs="Tahoma"/>
          <w:sz w:val="20"/>
          <w:szCs w:val="20"/>
        </w:rPr>
        <w:t xml:space="preserve">, Nan Duangpun, </w:t>
      </w:r>
      <w:r w:rsidR="00E972BE">
        <w:rPr>
          <w:rFonts w:ascii="Tahoma" w:hAnsi="Tahoma" w:cs="Tahoma"/>
          <w:sz w:val="20"/>
          <w:szCs w:val="20"/>
        </w:rPr>
        <w:t>Guadalupe Guillen</w:t>
      </w:r>
      <w:r w:rsidR="00136D8E">
        <w:rPr>
          <w:rFonts w:ascii="Tahoma" w:hAnsi="Tahoma" w:cs="Tahoma"/>
          <w:sz w:val="20"/>
          <w:szCs w:val="20"/>
        </w:rPr>
        <w:t xml:space="preserve">, Tim Harrison, </w:t>
      </w:r>
      <w:r w:rsidR="00E972BE">
        <w:rPr>
          <w:rFonts w:ascii="Tahoma" w:hAnsi="Tahoma" w:cs="Tahoma"/>
          <w:sz w:val="20"/>
          <w:szCs w:val="20"/>
        </w:rPr>
        <w:t xml:space="preserve">Bea Herrera, </w:t>
      </w:r>
      <w:r>
        <w:rPr>
          <w:rFonts w:ascii="Tahoma" w:hAnsi="Tahoma" w:cs="Tahoma"/>
          <w:sz w:val="20"/>
          <w:szCs w:val="20"/>
        </w:rPr>
        <w:t xml:space="preserve">Dave Keebler, </w:t>
      </w:r>
      <w:r w:rsidR="00E972BE">
        <w:rPr>
          <w:rFonts w:ascii="Tahoma" w:hAnsi="Tahoma" w:cs="Tahoma"/>
          <w:sz w:val="20"/>
          <w:szCs w:val="20"/>
        </w:rPr>
        <w:t xml:space="preserve">Gwen Lewis-Huddleston, </w:t>
      </w:r>
      <w:r w:rsidR="00136D8E">
        <w:rPr>
          <w:rFonts w:ascii="Tahoma" w:hAnsi="Tahoma" w:cs="Tahoma"/>
          <w:sz w:val="20"/>
          <w:szCs w:val="20"/>
        </w:rPr>
        <w:t xml:space="preserve">Sandy Melton, Jay Moore, Peder Nielsen, </w:t>
      </w:r>
      <w:r>
        <w:rPr>
          <w:rFonts w:ascii="Tahoma" w:hAnsi="Tahoma" w:cs="Tahoma"/>
          <w:sz w:val="20"/>
          <w:szCs w:val="20"/>
        </w:rPr>
        <w:t xml:space="preserve">Mark Pauley, </w:t>
      </w:r>
    </w:p>
    <w:p w:rsidR="00E972BE" w:rsidRDefault="00E972BE" w:rsidP="00E972BE">
      <w:pPr>
        <w:ind w:left="1440" w:hanging="1440"/>
        <w:rPr>
          <w:rFonts w:ascii="Tahoma" w:hAnsi="Tahoma" w:cs="Tahoma"/>
          <w:sz w:val="20"/>
          <w:szCs w:val="20"/>
        </w:rPr>
      </w:pPr>
    </w:p>
    <w:p w:rsidR="00A10B1C" w:rsidRPr="0091333C" w:rsidRDefault="00A10B1C" w:rsidP="00A10B1C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>Recorder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Maureen Jacobs</w:t>
      </w:r>
    </w:p>
    <w:p w:rsidR="00A10B1C" w:rsidRDefault="00A10B1C" w:rsidP="00A10B1C">
      <w:pPr>
        <w:rPr>
          <w:rFonts w:ascii="Tahoma" w:hAnsi="Tahoma" w:cs="Tahoma"/>
          <w:b/>
          <w:sz w:val="16"/>
          <w:szCs w:val="20"/>
          <w:u w:val="single"/>
        </w:rPr>
      </w:pPr>
    </w:p>
    <w:p w:rsidR="00372BE6" w:rsidRPr="00CC4D12" w:rsidRDefault="00A10B1C" w:rsidP="006C0BCF">
      <w:pPr>
        <w:ind w:left="1440" w:hanging="1440"/>
        <w:rPr>
          <w:rFonts w:ascii="Calibri" w:eastAsiaTheme="minorHAnsi" w:hAnsi="Calibri" w:cs="Calibri"/>
          <w:bCs/>
          <w:u w:val="single"/>
          <w:lang w:bidi="he-IL"/>
        </w:rPr>
      </w:pPr>
      <w:r w:rsidRPr="006B44C6">
        <w:rPr>
          <w:rFonts w:ascii="Tahoma" w:hAnsi="Tahoma" w:cs="Tahoma"/>
          <w:b/>
          <w:bCs/>
          <w:sz w:val="20"/>
          <w:szCs w:val="20"/>
        </w:rPr>
        <w:t>Handouts:</w:t>
      </w:r>
      <w:r w:rsidR="00CC4D12">
        <w:rPr>
          <w:rFonts w:ascii="Tahoma" w:hAnsi="Tahoma" w:cs="Tahoma"/>
          <w:b/>
          <w:bCs/>
          <w:sz w:val="20"/>
          <w:szCs w:val="20"/>
        </w:rPr>
        <w:tab/>
      </w:r>
      <w:r w:rsidR="00FF4020">
        <w:rPr>
          <w:rFonts w:ascii="Tahoma" w:hAnsi="Tahoma" w:cs="Tahoma"/>
          <w:bCs/>
          <w:sz w:val="20"/>
          <w:szCs w:val="20"/>
        </w:rPr>
        <w:t xml:space="preserve">VC FY15 Budget </w:t>
      </w:r>
      <w:r w:rsidR="00E972BE">
        <w:rPr>
          <w:rFonts w:ascii="Tahoma" w:hAnsi="Tahoma" w:cs="Tahoma"/>
          <w:bCs/>
          <w:sz w:val="20"/>
          <w:szCs w:val="20"/>
        </w:rPr>
        <w:t>Analysis FY14 to FY15 Variance</w:t>
      </w:r>
      <w:r w:rsidR="00FF4020">
        <w:rPr>
          <w:rFonts w:ascii="Tahoma" w:hAnsi="Tahoma" w:cs="Tahoma"/>
          <w:bCs/>
          <w:sz w:val="20"/>
          <w:szCs w:val="20"/>
        </w:rPr>
        <w:t xml:space="preserve">, </w:t>
      </w:r>
      <w:r w:rsidR="00E972BE">
        <w:rPr>
          <w:rFonts w:ascii="Tahoma" w:hAnsi="Tahoma" w:cs="Tahoma"/>
          <w:bCs/>
          <w:sz w:val="20"/>
          <w:szCs w:val="20"/>
        </w:rPr>
        <w:t xml:space="preserve">Building Capacity to Support Student Success, Planning and Decision Map-DRAFT, </w:t>
      </w:r>
      <w:r w:rsidR="00CC4D12">
        <w:rPr>
          <w:rFonts w:ascii="Tahoma" w:hAnsi="Tahoma" w:cs="Tahoma"/>
          <w:bCs/>
          <w:sz w:val="20"/>
          <w:szCs w:val="20"/>
        </w:rPr>
        <w:t xml:space="preserve">VC-Accreditation Compliance Review by </w:t>
      </w:r>
      <w:r w:rsidR="00E972BE">
        <w:rPr>
          <w:rFonts w:ascii="Tahoma" w:hAnsi="Tahoma" w:cs="Tahoma"/>
          <w:bCs/>
          <w:sz w:val="20"/>
          <w:szCs w:val="20"/>
        </w:rPr>
        <w:t xml:space="preserve">the </w:t>
      </w:r>
      <w:r w:rsidR="00CC4D12">
        <w:rPr>
          <w:rFonts w:ascii="Tahoma" w:hAnsi="Tahoma" w:cs="Tahoma"/>
          <w:bCs/>
          <w:sz w:val="20"/>
          <w:szCs w:val="20"/>
        </w:rPr>
        <w:t>New Standards</w:t>
      </w:r>
    </w:p>
    <w:p w:rsidR="00311363" w:rsidRPr="00CC4D12" w:rsidRDefault="00311363" w:rsidP="00A10B1C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64"/>
        <w:gridCol w:w="7895"/>
        <w:gridCol w:w="1430"/>
        <w:gridCol w:w="1437"/>
        <w:gridCol w:w="1261"/>
      </w:tblGrid>
      <w:tr w:rsidR="00C24CAA" w:rsidRPr="00C24CAA" w:rsidTr="00136D8E">
        <w:trPr>
          <w:trHeight w:val="288"/>
          <w:tblHeader/>
          <w:tblCellSpacing w:w="20" w:type="dxa"/>
        </w:trPr>
        <w:tc>
          <w:tcPr>
            <w:tcW w:w="0" w:type="auto"/>
            <w:shd w:val="clear" w:color="auto" w:fill="D9D9D9"/>
          </w:tcPr>
          <w:p w:rsidR="00C65512" w:rsidRPr="00C24CAA" w:rsidRDefault="00C65512" w:rsidP="003D46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C24CAA">
              <w:rPr>
                <w:rFonts w:ascii="Tahoma" w:hAnsi="Tahoma" w:cs="Tahoma"/>
                <w:b/>
                <w:sz w:val="20"/>
                <w:szCs w:val="20"/>
              </w:rPr>
              <w:t>Agenda Item</w:t>
            </w:r>
          </w:p>
        </w:tc>
        <w:tc>
          <w:tcPr>
            <w:tcW w:w="7855" w:type="dxa"/>
            <w:shd w:val="clear" w:color="auto" w:fill="D9D9D9"/>
          </w:tcPr>
          <w:p w:rsidR="00C65512" w:rsidRPr="00C24CAA" w:rsidRDefault="00C65512" w:rsidP="003D46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4CAA">
              <w:rPr>
                <w:rFonts w:ascii="Tahoma" w:hAnsi="Tahoma" w:cs="Tahoma"/>
                <w:b/>
                <w:sz w:val="20"/>
                <w:szCs w:val="20"/>
              </w:rPr>
              <w:t>Summary of Discussion</w:t>
            </w:r>
          </w:p>
        </w:tc>
        <w:tc>
          <w:tcPr>
            <w:tcW w:w="1390" w:type="dxa"/>
            <w:shd w:val="clear" w:color="auto" w:fill="D9D9D9"/>
          </w:tcPr>
          <w:p w:rsidR="00C65512" w:rsidRPr="00C24CAA" w:rsidRDefault="00C65512" w:rsidP="003D46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4CAA">
              <w:rPr>
                <w:rFonts w:ascii="Tahoma" w:hAnsi="Tahoma" w:cs="Tahoma"/>
                <w:b/>
                <w:sz w:val="20"/>
                <w:szCs w:val="20"/>
              </w:rPr>
              <w:t>Action (If Required)</w:t>
            </w:r>
          </w:p>
        </w:tc>
        <w:tc>
          <w:tcPr>
            <w:tcW w:w="1397" w:type="dxa"/>
            <w:shd w:val="clear" w:color="auto" w:fill="D9D9D9"/>
          </w:tcPr>
          <w:p w:rsidR="00C65512" w:rsidRPr="00C24CAA" w:rsidRDefault="00C65512" w:rsidP="003D46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4CAA">
              <w:rPr>
                <w:rFonts w:ascii="Tahoma" w:hAnsi="Tahoma" w:cs="Tahoma"/>
                <w:b/>
                <w:sz w:val="20"/>
                <w:szCs w:val="20"/>
              </w:rPr>
              <w:t>Completion Timeline</w:t>
            </w:r>
          </w:p>
        </w:tc>
        <w:tc>
          <w:tcPr>
            <w:tcW w:w="1201" w:type="dxa"/>
            <w:shd w:val="clear" w:color="auto" w:fill="D9D9D9"/>
          </w:tcPr>
          <w:p w:rsidR="00C65512" w:rsidRPr="00C24CAA" w:rsidRDefault="00C65512" w:rsidP="003D46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4CAA">
              <w:rPr>
                <w:rFonts w:ascii="Tahoma" w:hAnsi="Tahoma" w:cs="Tahoma"/>
                <w:b/>
                <w:sz w:val="20"/>
                <w:szCs w:val="20"/>
              </w:rPr>
              <w:t>Assigned to:</w:t>
            </w:r>
          </w:p>
        </w:tc>
      </w:tr>
      <w:tr w:rsidR="00C24CAA" w:rsidRPr="00C24CAA" w:rsidTr="00136D8E">
        <w:trPr>
          <w:trHeight w:val="451"/>
          <w:tblCellSpacing w:w="20" w:type="dxa"/>
        </w:trPr>
        <w:tc>
          <w:tcPr>
            <w:tcW w:w="0" w:type="auto"/>
            <w:shd w:val="clear" w:color="auto" w:fill="auto"/>
          </w:tcPr>
          <w:p w:rsidR="002A6618" w:rsidRPr="00C24CAA" w:rsidRDefault="002A6618" w:rsidP="000761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4CAA">
              <w:rPr>
                <w:rFonts w:ascii="Tahoma" w:hAnsi="Tahoma" w:cs="Tahoma"/>
                <w:b/>
                <w:sz w:val="20"/>
                <w:szCs w:val="20"/>
              </w:rPr>
              <w:t>Prior minutes</w:t>
            </w:r>
          </w:p>
        </w:tc>
        <w:tc>
          <w:tcPr>
            <w:tcW w:w="7855" w:type="dxa"/>
            <w:shd w:val="clear" w:color="auto" w:fill="auto"/>
          </w:tcPr>
          <w:p w:rsidR="002A6618" w:rsidRPr="003E5406" w:rsidRDefault="007B0C49" w:rsidP="007B0C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c</w:t>
            </w:r>
            <w:r w:rsidR="00E972BE" w:rsidRPr="003E5406">
              <w:rPr>
                <w:rFonts w:ascii="Tahoma" w:hAnsi="Tahoma" w:cs="Tahoma"/>
                <w:sz w:val="20"/>
                <w:szCs w:val="20"/>
              </w:rPr>
              <w:t>orrections to 04/16/14 minutes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972BE" w:rsidRPr="003E54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2A6618" w:rsidRPr="00C24CAA" w:rsidRDefault="002A6618" w:rsidP="005F0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2A6618" w:rsidRPr="00C24CAA" w:rsidRDefault="002A6618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2A6618" w:rsidRPr="00C24CAA" w:rsidRDefault="002A6618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CAA" w:rsidRPr="00C24CAA" w:rsidTr="00136D8E">
        <w:trPr>
          <w:trHeight w:val="451"/>
          <w:tblCellSpacing w:w="20" w:type="dxa"/>
        </w:trPr>
        <w:tc>
          <w:tcPr>
            <w:tcW w:w="0" w:type="auto"/>
            <w:shd w:val="clear" w:color="auto" w:fill="auto"/>
          </w:tcPr>
          <w:p w:rsidR="00166423" w:rsidRPr="00C24CAA" w:rsidRDefault="008C3ECC" w:rsidP="008C3E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BRC </w:t>
            </w:r>
            <w:r w:rsidR="0066302E">
              <w:rPr>
                <w:rFonts w:ascii="Tahoma" w:hAnsi="Tahoma" w:cs="Tahoma"/>
                <w:b/>
                <w:sz w:val="20"/>
                <w:szCs w:val="20"/>
              </w:rPr>
              <w:t>Charge</w:t>
            </w:r>
            <w:r w:rsidR="003E5406">
              <w:rPr>
                <w:rFonts w:ascii="Tahoma" w:hAnsi="Tahoma" w:cs="Tahoma"/>
                <w:b/>
                <w:sz w:val="20"/>
                <w:szCs w:val="20"/>
              </w:rPr>
              <w:t xml:space="preserve"> and  Themes</w:t>
            </w:r>
          </w:p>
        </w:tc>
        <w:tc>
          <w:tcPr>
            <w:tcW w:w="7855" w:type="dxa"/>
            <w:shd w:val="clear" w:color="auto" w:fill="auto"/>
          </w:tcPr>
          <w:p w:rsidR="002A6618" w:rsidRPr="003E5406" w:rsidRDefault="00FC1CB0" w:rsidP="003E5406">
            <w:pPr>
              <w:rPr>
                <w:rFonts w:ascii="Tahoma" w:hAnsi="Tahoma" w:cs="Tahoma"/>
                <w:sz w:val="20"/>
                <w:szCs w:val="20"/>
              </w:rPr>
            </w:pPr>
            <w:r w:rsidRPr="003E5406">
              <w:rPr>
                <w:rFonts w:ascii="Tahoma" w:hAnsi="Tahoma" w:cs="Tahoma"/>
                <w:sz w:val="20"/>
                <w:szCs w:val="20"/>
              </w:rPr>
              <w:t>Dave would like to see 3 themes built into our charge:</w:t>
            </w:r>
          </w:p>
          <w:p w:rsidR="00FC1CB0" w:rsidRDefault="00FC1CB0" w:rsidP="0053181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</w:t>
            </w:r>
            <w:r w:rsidR="00B85897">
              <w:rPr>
                <w:rFonts w:ascii="Tahoma" w:hAnsi="Tahoma" w:cs="Tahoma"/>
                <w:sz w:val="20"/>
                <w:szCs w:val="20"/>
              </w:rPr>
              <w:t>Management</w:t>
            </w:r>
          </w:p>
          <w:p w:rsidR="00FC1CB0" w:rsidRDefault="00FC1CB0" w:rsidP="0053181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Accreditation</w:t>
            </w:r>
          </w:p>
          <w:p w:rsidR="00FC1CB0" w:rsidRDefault="00B85897" w:rsidP="0053181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Operations Research</w:t>
            </w:r>
          </w:p>
          <w:p w:rsidR="003E5406" w:rsidRDefault="003E5406" w:rsidP="003E5406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DISCUSSION:</w:t>
            </w:r>
          </w:p>
          <w:p w:rsidR="003E5406" w:rsidRDefault="003E5406" w:rsidP="003E5406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Operational Research is about trade-offs.  What are the consequences for not doing something?</w:t>
            </w:r>
          </w:p>
          <w:p w:rsidR="003E5406" w:rsidRDefault="003E5406" w:rsidP="003E5406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does a core college look like?</w:t>
            </w:r>
          </w:p>
          <w:p w:rsidR="003E5406" w:rsidRDefault="003E5406" w:rsidP="0053181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 has wanted to do this research for a long time. Using peer colleges, create a template. </w:t>
            </w:r>
          </w:p>
          <w:p w:rsidR="003E5406" w:rsidRDefault="003B0025" w:rsidP="0053181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Jay</w:t>
            </w:r>
            <w:r w:rsidR="003E5406">
              <w:rPr>
                <w:rFonts w:ascii="Tahoma" w:hAnsi="Tahoma" w:cs="Tahoma"/>
                <w:sz w:val="20"/>
                <w:szCs w:val="20"/>
              </w:rPr>
              <w:t xml:space="preserve"> brought up referring to national benchmarks, i.e. square footage per custodian; students per counselor</w:t>
            </w:r>
          </w:p>
          <w:p w:rsidR="003E5406" w:rsidRDefault="003E5406" w:rsidP="003E5406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 asked about </w:t>
            </w:r>
            <w:r w:rsidR="00A33DA1">
              <w:rPr>
                <w:rFonts w:ascii="Tahoma" w:hAnsi="Tahoma" w:cs="Tahoma"/>
                <w:sz w:val="20"/>
                <w:szCs w:val="20"/>
              </w:rPr>
              <w:t>personnel plans for each area</w:t>
            </w:r>
            <w:bookmarkStart w:id="2" w:name="_GoBack"/>
            <w:bookmarkEnd w:id="2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3E5406" w:rsidRDefault="003E5406" w:rsidP="003E5406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bring a program back; management or classified first?</w:t>
            </w:r>
          </w:p>
          <w:p w:rsidR="003E5406" w:rsidRDefault="003E5406" w:rsidP="003E5406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Dave suggested giving recommendations </w:t>
            </w:r>
          </w:p>
          <w:p w:rsidR="003F57ED" w:rsidRDefault="003F57ED" w:rsidP="00B85897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Peder asked how </w:t>
            </w:r>
            <w:r w:rsidR="004F1B00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3E5406">
              <w:rPr>
                <w:rFonts w:ascii="Tahoma" w:hAnsi="Tahoma" w:cs="Tahoma"/>
                <w:sz w:val="20"/>
                <w:szCs w:val="20"/>
              </w:rPr>
              <w:t>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 the most students’ </w:t>
            </w:r>
            <w:r w:rsidR="003E5406">
              <w:rPr>
                <w:rFonts w:ascii="Tahoma" w:hAnsi="Tahoma" w:cs="Tahoma"/>
                <w:sz w:val="20"/>
                <w:szCs w:val="20"/>
              </w:rPr>
              <w:t>needs.</w:t>
            </w:r>
          </w:p>
          <w:p w:rsidR="00FC1CB0" w:rsidRPr="00C24CAA" w:rsidRDefault="003F57ED" w:rsidP="007B0C49">
            <w:pPr>
              <w:pStyle w:val="ListParagraph"/>
              <w:ind w:left="59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 said we have a disp</w:t>
            </w:r>
            <w:r w:rsidR="00BD6D3D">
              <w:rPr>
                <w:rFonts w:ascii="Tahoma" w:hAnsi="Tahoma" w:cs="Tahoma"/>
                <w:sz w:val="20"/>
                <w:szCs w:val="20"/>
              </w:rPr>
              <w:t>rop</w:t>
            </w:r>
            <w:r>
              <w:rPr>
                <w:rFonts w:ascii="Tahoma" w:hAnsi="Tahoma" w:cs="Tahoma"/>
                <w:sz w:val="20"/>
                <w:szCs w:val="20"/>
              </w:rPr>
              <w:t>orti</w:t>
            </w:r>
            <w:r w:rsidR="00BD6D3D"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z w:val="20"/>
                <w:szCs w:val="20"/>
              </w:rPr>
              <w:t>ate general fund to our categorical funds.</w:t>
            </w:r>
            <w:r w:rsidR="00BD6D3D">
              <w:rPr>
                <w:rFonts w:ascii="Tahoma" w:hAnsi="Tahoma" w:cs="Tahoma"/>
                <w:sz w:val="20"/>
                <w:szCs w:val="20"/>
              </w:rPr>
              <w:t xml:space="preserve"> Grant </w:t>
            </w:r>
            <w:r w:rsidR="003E5406">
              <w:rPr>
                <w:rFonts w:ascii="Tahoma" w:hAnsi="Tahoma" w:cs="Tahoma"/>
                <w:sz w:val="20"/>
                <w:szCs w:val="20"/>
              </w:rPr>
              <w:t xml:space="preserve">funded </w:t>
            </w:r>
            <w:r w:rsidR="00BD6D3D">
              <w:rPr>
                <w:rFonts w:ascii="Tahoma" w:hAnsi="Tahoma" w:cs="Tahoma"/>
                <w:sz w:val="20"/>
                <w:szCs w:val="20"/>
              </w:rPr>
              <w:t>positions cannot transition into our general fund.</w:t>
            </w:r>
          </w:p>
        </w:tc>
        <w:tc>
          <w:tcPr>
            <w:tcW w:w="1390" w:type="dxa"/>
            <w:shd w:val="clear" w:color="auto" w:fill="auto"/>
          </w:tcPr>
          <w:p w:rsidR="00030D0B" w:rsidRPr="00C24CAA" w:rsidRDefault="00030D0B" w:rsidP="00866A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30D0B" w:rsidRPr="00C24CAA" w:rsidRDefault="00030D0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030D0B" w:rsidRPr="00C24CAA" w:rsidRDefault="00030D0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CAA" w:rsidRPr="00C24CAA" w:rsidTr="00136D8E">
        <w:trPr>
          <w:trHeight w:val="451"/>
          <w:tblCellSpacing w:w="20" w:type="dxa"/>
        </w:trPr>
        <w:tc>
          <w:tcPr>
            <w:tcW w:w="0" w:type="auto"/>
            <w:shd w:val="clear" w:color="auto" w:fill="auto"/>
          </w:tcPr>
          <w:p w:rsidR="00800973" w:rsidRPr="00C24CAA" w:rsidRDefault="003E5406" w:rsidP="003E540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Survey Questions </w:t>
            </w:r>
          </w:p>
        </w:tc>
        <w:tc>
          <w:tcPr>
            <w:tcW w:w="7855" w:type="dxa"/>
            <w:shd w:val="clear" w:color="auto" w:fill="auto"/>
          </w:tcPr>
          <w:p w:rsidR="002E227D" w:rsidRPr="003E5406" w:rsidRDefault="008C3ECC" w:rsidP="003E5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will bring our last survey questions and review in Counsel.</w:t>
            </w:r>
          </w:p>
        </w:tc>
        <w:tc>
          <w:tcPr>
            <w:tcW w:w="1390" w:type="dxa"/>
            <w:shd w:val="clear" w:color="auto" w:fill="auto"/>
          </w:tcPr>
          <w:p w:rsidR="00800973" w:rsidRPr="00C24CAA" w:rsidRDefault="008C3ECC" w:rsidP="005F0A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Survey Questions</w:t>
            </w:r>
          </w:p>
        </w:tc>
        <w:tc>
          <w:tcPr>
            <w:tcW w:w="1397" w:type="dxa"/>
            <w:shd w:val="clear" w:color="auto" w:fill="auto"/>
          </w:tcPr>
          <w:p w:rsidR="00800973" w:rsidRPr="00C24CAA" w:rsidRDefault="008C3ECC" w:rsidP="008C3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10/15/14</w:t>
            </w:r>
          </w:p>
        </w:tc>
        <w:tc>
          <w:tcPr>
            <w:tcW w:w="1201" w:type="dxa"/>
            <w:shd w:val="clear" w:color="auto" w:fill="auto"/>
          </w:tcPr>
          <w:p w:rsidR="00800973" w:rsidRPr="00C24CAA" w:rsidRDefault="008C3ECC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Pauley</w:t>
            </w:r>
          </w:p>
        </w:tc>
      </w:tr>
      <w:bookmarkEnd w:id="0"/>
      <w:bookmarkEnd w:id="1"/>
      <w:tr w:rsidR="00C24CAA" w:rsidRPr="00C24CAA" w:rsidTr="008C3ECC">
        <w:trPr>
          <w:trHeight w:val="568"/>
          <w:tblCellSpacing w:w="20" w:type="dxa"/>
        </w:trPr>
        <w:tc>
          <w:tcPr>
            <w:tcW w:w="0" w:type="auto"/>
            <w:shd w:val="clear" w:color="auto" w:fill="auto"/>
          </w:tcPr>
          <w:p w:rsidR="004C1FF9" w:rsidRPr="00C24CAA" w:rsidRDefault="003E5406" w:rsidP="00294E9F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Accreditation</w:t>
            </w:r>
          </w:p>
        </w:tc>
        <w:tc>
          <w:tcPr>
            <w:tcW w:w="7855" w:type="dxa"/>
            <w:shd w:val="clear" w:color="auto" w:fill="auto"/>
          </w:tcPr>
          <w:p w:rsidR="008623F9" w:rsidRPr="003E5406" w:rsidRDefault="003E5406" w:rsidP="003E5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proposed </w:t>
            </w:r>
            <w:r w:rsidR="008C3ECC">
              <w:rPr>
                <w:rFonts w:ascii="Tahoma" w:hAnsi="Tahoma" w:cs="Tahoma"/>
                <w:sz w:val="20"/>
                <w:szCs w:val="20"/>
              </w:rPr>
              <w:t>changes to accreditation 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now actual</w:t>
            </w:r>
            <w:r w:rsidR="008C3ECC">
              <w:rPr>
                <w:rFonts w:ascii="Tahoma" w:hAnsi="Tahoma" w:cs="Tahoma"/>
                <w:sz w:val="20"/>
                <w:szCs w:val="20"/>
              </w:rPr>
              <w:t xml:space="preserve">. It is important to get through these standards. Last year we used a matrix and evaluated 0, 1, </w:t>
            </w:r>
            <w:r w:rsidR="00DE41E2">
              <w:rPr>
                <w:rFonts w:ascii="Tahoma" w:hAnsi="Tahoma" w:cs="Tahoma"/>
                <w:sz w:val="20"/>
                <w:szCs w:val="20"/>
              </w:rPr>
              <w:t>and 2</w:t>
            </w:r>
            <w:r w:rsidR="008C3EC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4C1FF9" w:rsidRPr="00C24CAA" w:rsidRDefault="004C1FF9" w:rsidP="00294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C1FF9" w:rsidRPr="00C24CAA" w:rsidRDefault="004C1FF9" w:rsidP="00294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4C1FF9" w:rsidRPr="00C24CAA" w:rsidRDefault="004C1FF9" w:rsidP="00294E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02E" w:rsidRPr="00C24CAA" w:rsidTr="003B0025">
        <w:trPr>
          <w:trHeight w:val="901"/>
          <w:tblCellSpacing w:w="20" w:type="dxa"/>
        </w:trPr>
        <w:tc>
          <w:tcPr>
            <w:tcW w:w="0" w:type="auto"/>
            <w:shd w:val="clear" w:color="auto" w:fill="auto"/>
          </w:tcPr>
          <w:p w:rsidR="0066302E" w:rsidRDefault="008C3ECC" w:rsidP="00294E9F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P</w:t>
            </w:r>
            <w:r w:rsidRPr="008C3ECC">
              <w:rPr>
                <w:rFonts w:ascii="Tahoma" w:hAnsi="Tahoma" w:cs="Tahoma"/>
                <w:b/>
                <w:iCs/>
                <w:sz w:val="20"/>
                <w:szCs w:val="20"/>
              </w:rPr>
              <w:t>lanning and Decision Map-DRAFT</w:t>
            </w:r>
          </w:p>
        </w:tc>
        <w:tc>
          <w:tcPr>
            <w:tcW w:w="7855" w:type="dxa"/>
            <w:shd w:val="clear" w:color="auto" w:fill="auto"/>
          </w:tcPr>
          <w:p w:rsidR="004F1B00" w:rsidRPr="004F1B00" w:rsidRDefault="004F1B00" w:rsidP="004F1B00">
            <w:pPr>
              <w:rPr>
                <w:rFonts w:ascii="Tahoma" w:hAnsi="Tahoma" w:cs="Tahoma"/>
                <w:sz w:val="20"/>
                <w:szCs w:val="20"/>
              </w:rPr>
            </w:pPr>
            <w:r w:rsidRPr="004F1B00">
              <w:rPr>
                <w:rFonts w:ascii="Tahoma" w:hAnsi="Tahoma" w:cs="Tahoma"/>
                <w:sz w:val="20"/>
                <w:szCs w:val="20"/>
              </w:rPr>
              <w:t>Dave presented a decision, governance and deliverables flowchart (map) aligning and linking the college’s various committees and decision processes.  Dave stressed planning and making collective dec</w:t>
            </w:r>
            <w:r>
              <w:rPr>
                <w:rFonts w:ascii="Tahoma" w:hAnsi="Tahoma" w:cs="Tahoma"/>
                <w:sz w:val="20"/>
                <w:szCs w:val="20"/>
              </w:rPr>
              <w:t>isions should precede budgeting d</w:t>
            </w:r>
            <w:r w:rsidRPr="004F1B00">
              <w:rPr>
                <w:rFonts w:ascii="Tahoma" w:hAnsi="Tahoma" w:cs="Tahoma"/>
                <w:sz w:val="20"/>
                <w:szCs w:val="20"/>
              </w:rPr>
              <w:t xml:space="preserve">ecisions.  Governance, with inclusive and representative participation, adds value to the planning process. Dave would like to have a simple one page map developed and used to link to all of the College’s planning and budgeting processes. </w:t>
            </w:r>
          </w:p>
          <w:p w:rsidR="003B0025" w:rsidRPr="008C3ECC" w:rsidRDefault="003B0025" w:rsidP="003B0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66302E" w:rsidRPr="00C24CAA" w:rsidRDefault="0066302E" w:rsidP="00294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6302E" w:rsidRPr="00C24CAA" w:rsidRDefault="0066302E" w:rsidP="00294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66302E" w:rsidRPr="00C24CAA" w:rsidRDefault="0066302E" w:rsidP="00294E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02E" w:rsidRPr="00C24CAA" w:rsidTr="00136D8E">
        <w:trPr>
          <w:trHeight w:val="288"/>
          <w:tblCellSpacing w:w="20" w:type="dxa"/>
        </w:trPr>
        <w:tc>
          <w:tcPr>
            <w:tcW w:w="0" w:type="auto"/>
            <w:shd w:val="clear" w:color="auto" w:fill="auto"/>
          </w:tcPr>
          <w:p w:rsidR="0066302E" w:rsidRPr="00C24CAA" w:rsidRDefault="00CA4B5C" w:rsidP="000761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Budget Status Report</w:t>
            </w:r>
          </w:p>
        </w:tc>
        <w:tc>
          <w:tcPr>
            <w:tcW w:w="7855" w:type="dxa"/>
            <w:shd w:val="clear" w:color="auto" w:fill="auto"/>
          </w:tcPr>
          <w:p w:rsidR="00DE41E2" w:rsidRDefault="008C3ECC" w:rsidP="0072517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Dave reviewed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VC FY15 Budget Analysis FY14 to FY15 Variance</w:t>
            </w:r>
            <w:r w:rsidR="00DE41E2">
              <w:rPr>
                <w:rFonts w:ascii="Tahoma" w:hAnsi="Tahoma" w:cs="Tahoma"/>
                <w:bCs/>
                <w:sz w:val="20"/>
                <w:szCs w:val="20"/>
              </w:rPr>
              <w:t xml:space="preserve"> and Building Capacity to Support Student Success. </w:t>
            </w:r>
          </w:p>
          <w:p w:rsidR="007B0C49" w:rsidRDefault="007B0C49" w:rsidP="00DE41E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B0C49" w:rsidRDefault="00DE41E2" w:rsidP="00DE41E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When you compare FY14 and FY15, there is no reserve in FY15. We are using Fund: 114. Capital funds are reduced. We grew 8% but did not grow in the general fund. </w:t>
            </w:r>
          </w:p>
          <w:p w:rsidR="007B0C49" w:rsidRDefault="007B0C49" w:rsidP="00DE41E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6302E" w:rsidRPr="008C3ECC" w:rsidRDefault="00DE41E2" w:rsidP="00DE41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VC is talking to the district, advocating a transition plan that uses reserves to grow, increase growth using one time reserves. We are asking for $900,000 but will be using $300,000 from the Bookstore Fund. We need money to make money. </w:t>
            </w:r>
          </w:p>
        </w:tc>
        <w:tc>
          <w:tcPr>
            <w:tcW w:w="1390" w:type="dxa"/>
            <w:shd w:val="clear" w:color="auto" w:fill="auto"/>
          </w:tcPr>
          <w:p w:rsidR="0066302E" w:rsidRPr="00C24CAA" w:rsidRDefault="0066302E" w:rsidP="005F0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6302E" w:rsidRPr="00C24CAA" w:rsidRDefault="0066302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66302E" w:rsidRPr="00C24CAA" w:rsidRDefault="0066302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02E" w:rsidRPr="00C24CAA" w:rsidTr="00136D8E">
        <w:trPr>
          <w:trHeight w:val="288"/>
          <w:tblCellSpacing w:w="20" w:type="dxa"/>
        </w:trPr>
        <w:tc>
          <w:tcPr>
            <w:tcW w:w="0" w:type="auto"/>
            <w:shd w:val="clear" w:color="auto" w:fill="auto"/>
          </w:tcPr>
          <w:p w:rsidR="0066302E" w:rsidRPr="00C24CAA" w:rsidRDefault="00CA4B5C" w:rsidP="000761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BRC meeting time</w:t>
            </w:r>
          </w:p>
        </w:tc>
        <w:tc>
          <w:tcPr>
            <w:tcW w:w="7855" w:type="dxa"/>
            <w:shd w:val="clear" w:color="auto" w:fill="auto"/>
          </w:tcPr>
          <w:p w:rsidR="0066302E" w:rsidRPr="008623F9" w:rsidRDefault="00DE41E2" w:rsidP="00DE41E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E41E2">
              <w:rPr>
                <w:rFonts w:ascii="Tahoma" w:hAnsi="Tahoma" w:cs="Tahoma"/>
                <w:bCs/>
                <w:sz w:val="20"/>
                <w:szCs w:val="20"/>
              </w:rPr>
              <w:t>All agreed that 1:30 PM works.</w:t>
            </w:r>
          </w:p>
        </w:tc>
        <w:tc>
          <w:tcPr>
            <w:tcW w:w="1390" w:type="dxa"/>
            <w:shd w:val="clear" w:color="auto" w:fill="auto"/>
          </w:tcPr>
          <w:p w:rsidR="0066302E" w:rsidRPr="00C24CAA" w:rsidRDefault="0066302E" w:rsidP="005F0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6302E" w:rsidRPr="00C24CAA" w:rsidRDefault="0066302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66302E" w:rsidRPr="00C24CAA" w:rsidRDefault="0066302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CAA" w:rsidRPr="00C24CAA" w:rsidTr="00136D8E">
        <w:trPr>
          <w:trHeight w:val="288"/>
          <w:tblCellSpacing w:w="20" w:type="dxa"/>
        </w:trPr>
        <w:tc>
          <w:tcPr>
            <w:tcW w:w="0" w:type="auto"/>
            <w:shd w:val="clear" w:color="auto" w:fill="auto"/>
          </w:tcPr>
          <w:p w:rsidR="004C1FF9" w:rsidRPr="00C24CAA" w:rsidRDefault="00725174" w:rsidP="000761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4CAA">
              <w:rPr>
                <w:rFonts w:ascii="Tahoma" w:hAnsi="Tahoma" w:cs="Tahoma"/>
                <w:b/>
                <w:sz w:val="20"/>
                <w:szCs w:val="20"/>
              </w:rPr>
              <w:t>Next</w:t>
            </w:r>
            <w:r w:rsidR="00D82B97" w:rsidRPr="00C24C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FF9" w:rsidRPr="00C24CAA">
              <w:rPr>
                <w:rFonts w:ascii="Tahoma" w:hAnsi="Tahoma" w:cs="Tahoma"/>
                <w:b/>
                <w:sz w:val="20"/>
                <w:szCs w:val="20"/>
              </w:rPr>
              <w:t>Meeting</w:t>
            </w:r>
          </w:p>
          <w:p w:rsidR="004C1FF9" w:rsidRPr="00C24CAA" w:rsidRDefault="004C1FF9" w:rsidP="000761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55" w:type="dxa"/>
            <w:shd w:val="clear" w:color="auto" w:fill="auto"/>
          </w:tcPr>
          <w:p w:rsidR="008623F9" w:rsidRPr="00C24CAA" w:rsidRDefault="008623F9" w:rsidP="00CA4B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15</w:t>
            </w:r>
            <w:r w:rsidR="00CA4B5C">
              <w:rPr>
                <w:rFonts w:ascii="Tahoma" w:hAnsi="Tahoma" w:cs="Tahoma"/>
                <w:sz w:val="20"/>
                <w:szCs w:val="20"/>
              </w:rPr>
              <w:t>, 1:30 PM in the Campus Center Conference Room</w:t>
            </w:r>
          </w:p>
        </w:tc>
        <w:tc>
          <w:tcPr>
            <w:tcW w:w="1390" w:type="dxa"/>
            <w:shd w:val="clear" w:color="auto" w:fill="auto"/>
          </w:tcPr>
          <w:p w:rsidR="004C1FF9" w:rsidRPr="00C24CAA" w:rsidRDefault="004C1FF9" w:rsidP="005F0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C1FF9" w:rsidRPr="00C24CAA" w:rsidRDefault="004C1FF9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4C1FF9" w:rsidRPr="00C24CAA" w:rsidRDefault="004C1FF9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2A00" w:rsidRPr="00C24CAA" w:rsidRDefault="00DF5041" w:rsidP="00EF0B80">
      <w:pPr>
        <w:rPr>
          <w:sz w:val="2"/>
          <w:szCs w:val="2"/>
        </w:rPr>
      </w:pP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  <w:r w:rsidRPr="00C24CAA">
        <w:rPr>
          <w:sz w:val="2"/>
          <w:szCs w:val="2"/>
        </w:rPr>
        <w:tab/>
      </w:r>
    </w:p>
    <w:sectPr w:rsidR="00452A00" w:rsidRPr="00C24CAA" w:rsidSect="002C6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7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72" w:rsidRDefault="00993272" w:rsidP="0005098A">
      <w:r>
        <w:separator/>
      </w:r>
    </w:p>
  </w:endnote>
  <w:endnote w:type="continuationSeparator" w:id="0">
    <w:p w:rsidR="00993272" w:rsidRDefault="00993272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0" w:rsidRDefault="004F1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8A" w:rsidRDefault="0005098A" w:rsidP="00AC339A">
    <w:pPr>
      <w:pStyle w:val="Footer"/>
      <w:tabs>
        <w:tab w:val="clear" w:pos="4680"/>
        <w:tab w:val="clear" w:pos="9360"/>
        <w:tab w:val="right" w:pos="1382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0" w:rsidRDefault="004F1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72" w:rsidRDefault="00993272" w:rsidP="0005098A">
      <w:r>
        <w:separator/>
      </w:r>
    </w:p>
  </w:footnote>
  <w:footnote w:type="continuationSeparator" w:id="0">
    <w:p w:rsidR="00993272" w:rsidRDefault="00993272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0" w:rsidRDefault="004F1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0" w:rsidRDefault="004F1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0" w:rsidRDefault="004F1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B6D"/>
    <w:multiLevelType w:val="hybridMultilevel"/>
    <w:tmpl w:val="0B6A2690"/>
    <w:lvl w:ilvl="0" w:tplc="705E64DE">
      <w:start w:val="5"/>
      <w:numFmt w:val="bullet"/>
      <w:lvlText w:val=""/>
      <w:lvlJc w:val="left"/>
      <w:pPr>
        <w:ind w:left="1141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758D06BF"/>
    <w:multiLevelType w:val="hybridMultilevel"/>
    <w:tmpl w:val="CD3283FC"/>
    <w:lvl w:ilvl="0" w:tplc="9706699A">
      <w:start w:val="1"/>
      <w:numFmt w:val="upperLetter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00DC3"/>
    <w:rsid w:val="000115A5"/>
    <w:rsid w:val="000129A7"/>
    <w:rsid w:val="00016878"/>
    <w:rsid w:val="00016AF4"/>
    <w:rsid w:val="00020BBC"/>
    <w:rsid w:val="00021805"/>
    <w:rsid w:val="00022DB5"/>
    <w:rsid w:val="000253F9"/>
    <w:rsid w:val="00030D0B"/>
    <w:rsid w:val="0004072C"/>
    <w:rsid w:val="0004192C"/>
    <w:rsid w:val="0004286E"/>
    <w:rsid w:val="00044904"/>
    <w:rsid w:val="000462A1"/>
    <w:rsid w:val="00046E07"/>
    <w:rsid w:val="0005098A"/>
    <w:rsid w:val="0005212D"/>
    <w:rsid w:val="00052487"/>
    <w:rsid w:val="000537B0"/>
    <w:rsid w:val="000643A7"/>
    <w:rsid w:val="00065F28"/>
    <w:rsid w:val="0006671E"/>
    <w:rsid w:val="000710E5"/>
    <w:rsid w:val="00072B8B"/>
    <w:rsid w:val="00072E99"/>
    <w:rsid w:val="0007320D"/>
    <w:rsid w:val="000733E2"/>
    <w:rsid w:val="000744A6"/>
    <w:rsid w:val="00076160"/>
    <w:rsid w:val="00077C49"/>
    <w:rsid w:val="000811CE"/>
    <w:rsid w:val="000837D4"/>
    <w:rsid w:val="00086E03"/>
    <w:rsid w:val="000906CE"/>
    <w:rsid w:val="00093AB3"/>
    <w:rsid w:val="000A002F"/>
    <w:rsid w:val="000A2952"/>
    <w:rsid w:val="000A4FDB"/>
    <w:rsid w:val="000C6EF4"/>
    <w:rsid w:val="000D0A45"/>
    <w:rsid w:val="000D1D66"/>
    <w:rsid w:val="000D4B64"/>
    <w:rsid w:val="000D6B95"/>
    <w:rsid w:val="000E118F"/>
    <w:rsid w:val="000E421D"/>
    <w:rsid w:val="000E46D2"/>
    <w:rsid w:val="000F6496"/>
    <w:rsid w:val="000F797A"/>
    <w:rsid w:val="00100FC9"/>
    <w:rsid w:val="001042C4"/>
    <w:rsid w:val="00105D62"/>
    <w:rsid w:val="00105F06"/>
    <w:rsid w:val="0010777C"/>
    <w:rsid w:val="001113DF"/>
    <w:rsid w:val="00111A69"/>
    <w:rsid w:val="00116A70"/>
    <w:rsid w:val="0011732C"/>
    <w:rsid w:val="00125B46"/>
    <w:rsid w:val="00131A63"/>
    <w:rsid w:val="00134B8C"/>
    <w:rsid w:val="00135AF2"/>
    <w:rsid w:val="001365D7"/>
    <w:rsid w:val="00136D8E"/>
    <w:rsid w:val="00137BED"/>
    <w:rsid w:val="0014143F"/>
    <w:rsid w:val="0014438F"/>
    <w:rsid w:val="0014651C"/>
    <w:rsid w:val="00147C75"/>
    <w:rsid w:val="00153806"/>
    <w:rsid w:val="00153CFD"/>
    <w:rsid w:val="00155C9E"/>
    <w:rsid w:val="00160DAD"/>
    <w:rsid w:val="00162C0D"/>
    <w:rsid w:val="001663B3"/>
    <w:rsid w:val="00166423"/>
    <w:rsid w:val="001677AC"/>
    <w:rsid w:val="00174C0C"/>
    <w:rsid w:val="001802E8"/>
    <w:rsid w:val="001809E8"/>
    <w:rsid w:val="0018260C"/>
    <w:rsid w:val="0018740E"/>
    <w:rsid w:val="00187433"/>
    <w:rsid w:val="0019468E"/>
    <w:rsid w:val="001A21D4"/>
    <w:rsid w:val="001A4CD5"/>
    <w:rsid w:val="001A557E"/>
    <w:rsid w:val="001A566F"/>
    <w:rsid w:val="001A5EAA"/>
    <w:rsid w:val="001A7E2F"/>
    <w:rsid w:val="001B17CD"/>
    <w:rsid w:val="001B3456"/>
    <w:rsid w:val="001B4686"/>
    <w:rsid w:val="001C4C02"/>
    <w:rsid w:val="001C58D0"/>
    <w:rsid w:val="001D0A0C"/>
    <w:rsid w:val="001D159A"/>
    <w:rsid w:val="001D1B0D"/>
    <w:rsid w:val="001D51C8"/>
    <w:rsid w:val="001E37DC"/>
    <w:rsid w:val="001E4C41"/>
    <w:rsid w:val="001E4F93"/>
    <w:rsid w:val="001E6685"/>
    <w:rsid w:val="001E6E83"/>
    <w:rsid w:val="001E7947"/>
    <w:rsid w:val="001F14DD"/>
    <w:rsid w:val="001F2B11"/>
    <w:rsid w:val="001F3699"/>
    <w:rsid w:val="00200E62"/>
    <w:rsid w:val="00202B04"/>
    <w:rsid w:val="002062E4"/>
    <w:rsid w:val="002147C3"/>
    <w:rsid w:val="002202CB"/>
    <w:rsid w:val="00222A3F"/>
    <w:rsid w:val="00222E49"/>
    <w:rsid w:val="00233498"/>
    <w:rsid w:val="002408FE"/>
    <w:rsid w:val="00240F91"/>
    <w:rsid w:val="0024163E"/>
    <w:rsid w:val="00243759"/>
    <w:rsid w:val="002445A1"/>
    <w:rsid w:val="002464FA"/>
    <w:rsid w:val="00247621"/>
    <w:rsid w:val="00256C7E"/>
    <w:rsid w:val="00257571"/>
    <w:rsid w:val="00260595"/>
    <w:rsid w:val="00263334"/>
    <w:rsid w:val="0026469A"/>
    <w:rsid w:val="00264BAA"/>
    <w:rsid w:val="002757BA"/>
    <w:rsid w:val="00285501"/>
    <w:rsid w:val="00286737"/>
    <w:rsid w:val="00294E9F"/>
    <w:rsid w:val="002950C7"/>
    <w:rsid w:val="002960DE"/>
    <w:rsid w:val="002A1365"/>
    <w:rsid w:val="002A1D3C"/>
    <w:rsid w:val="002A2372"/>
    <w:rsid w:val="002A2546"/>
    <w:rsid w:val="002A42EB"/>
    <w:rsid w:val="002A4388"/>
    <w:rsid w:val="002A5F0E"/>
    <w:rsid w:val="002A6618"/>
    <w:rsid w:val="002A7EC1"/>
    <w:rsid w:val="002B4324"/>
    <w:rsid w:val="002C6245"/>
    <w:rsid w:val="002D05F9"/>
    <w:rsid w:val="002D06C4"/>
    <w:rsid w:val="002D0AEB"/>
    <w:rsid w:val="002D2D86"/>
    <w:rsid w:val="002D4194"/>
    <w:rsid w:val="002D7381"/>
    <w:rsid w:val="002D7D14"/>
    <w:rsid w:val="002E227D"/>
    <w:rsid w:val="002E424A"/>
    <w:rsid w:val="002E6F71"/>
    <w:rsid w:val="002E74A9"/>
    <w:rsid w:val="002F10C8"/>
    <w:rsid w:val="002F1903"/>
    <w:rsid w:val="002F2EDD"/>
    <w:rsid w:val="002F4F24"/>
    <w:rsid w:val="002F5F92"/>
    <w:rsid w:val="002F7C32"/>
    <w:rsid w:val="00301CE0"/>
    <w:rsid w:val="0030223B"/>
    <w:rsid w:val="00305C40"/>
    <w:rsid w:val="00310A65"/>
    <w:rsid w:val="00311363"/>
    <w:rsid w:val="00313F21"/>
    <w:rsid w:val="0031423D"/>
    <w:rsid w:val="00314998"/>
    <w:rsid w:val="00316508"/>
    <w:rsid w:val="00317563"/>
    <w:rsid w:val="00331DAC"/>
    <w:rsid w:val="003323D2"/>
    <w:rsid w:val="00335683"/>
    <w:rsid w:val="00335FDE"/>
    <w:rsid w:val="0034016E"/>
    <w:rsid w:val="003414BB"/>
    <w:rsid w:val="00342082"/>
    <w:rsid w:val="00344894"/>
    <w:rsid w:val="0034713E"/>
    <w:rsid w:val="003527A5"/>
    <w:rsid w:val="003544DD"/>
    <w:rsid w:val="00355660"/>
    <w:rsid w:val="00355901"/>
    <w:rsid w:val="00356671"/>
    <w:rsid w:val="00356D9C"/>
    <w:rsid w:val="003643D7"/>
    <w:rsid w:val="00366D95"/>
    <w:rsid w:val="003670C7"/>
    <w:rsid w:val="00367212"/>
    <w:rsid w:val="003705FA"/>
    <w:rsid w:val="00370C56"/>
    <w:rsid w:val="003722A7"/>
    <w:rsid w:val="00372BE6"/>
    <w:rsid w:val="00374997"/>
    <w:rsid w:val="00383058"/>
    <w:rsid w:val="00396C12"/>
    <w:rsid w:val="003A6AD2"/>
    <w:rsid w:val="003B0025"/>
    <w:rsid w:val="003B5F3A"/>
    <w:rsid w:val="003B6037"/>
    <w:rsid w:val="003B7859"/>
    <w:rsid w:val="003C15B8"/>
    <w:rsid w:val="003C5D92"/>
    <w:rsid w:val="003C7709"/>
    <w:rsid w:val="003D267C"/>
    <w:rsid w:val="003D3481"/>
    <w:rsid w:val="003D4617"/>
    <w:rsid w:val="003D5CFF"/>
    <w:rsid w:val="003E0B1E"/>
    <w:rsid w:val="003E5406"/>
    <w:rsid w:val="003E66C2"/>
    <w:rsid w:val="003F25FF"/>
    <w:rsid w:val="003F4AAC"/>
    <w:rsid w:val="003F57ED"/>
    <w:rsid w:val="0040509D"/>
    <w:rsid w:val="00406874"/>
    <w:rsid w:val="00412460"/>
    <w:rsid w:val="004171A9"/>
    <w:rsid w:val="004211C9"/>
    <w:rsid w:val="00425958"/>
    <w:rsid w:val="004359A1"/>
    <w:rsid w:val="00436368"/>
    <w:rsid w:val="00441DE9"/>
    <w:rsid w:val="00443276"/>
    <w:rsid w:val="00447A7F"/>
    <w:rsid w:val="00450B7C"/>
    <w:rsid w:val="00452A00"/>
    <w:rsid w:val="0045319A"/>
    <w:rsid w:val="00455CED"/>
    <w:rsid w:val="0045682C"/>
    <w:rsid w:val="00462CED"/>
    <w:rsid w:val="004634B1"/>
    <w:rsid w:val="004659F2"/>
    <w:rsid w:val="004708FD"/>
    <w:rsid w:val="0048284B"/>
    <w:rsid w:val="0048685E"/>
    <w:rsid w:val="004868BB"/>
    <w:rsid w:val="0049140A"/>
    <w:rsid w:val="0049149E"/>
    <w:rsid w:val="00495188"/>
    <w:rsid w:val="004A08F7"/>
    <w:rsid w:val="004A11D5"/>
    <w:rsid w:val="004A1FC5"/>
    <w:rsid w:val="004A3C7D"/>
    <w:rsid w:val="004C0106"/>
    <w:rsid w:val="004C1FF9"/>
    <w:rsid w:val="004C3227"/>
    <w:rsid w:val="004C42B5"/>
    <w:rsid w:val="004C5A65"/>
    <w:rsid w:val="004D3025"/>
    <w:rsid w:val="004D775C"/>
    <w:rsid w:val="004E0086"/>
    <w:rsid w:val="004E180A"/>
    <w:rsid w:val="004E1E98"/>
    <w:rsid w:val="004E68C7"/>
    <w:rsid w:val="004E7477"/>
    <w:rsid w:val="004E7CEE"/>
    <w:rsid w:val="004F1B00"/>
    <w:rsid w:val="0050337E"/>
    <w:rsid w:val="005072B4"/>
    <w:rsid w:val="005113BE"/>
    <w:rsid w:val="00512935"/>
    <w:rsid w:val="00515816"/>
    <w:rsid w:val="00516AF9"/>
    <w:rsid w:val="005201F2"/>
    <w:rsid w:val="0052066D"/>
    <w:rsid w:val="00521C5B"/>
    <w:rsid w:val="005240BA"/>
    <w:rsid w:val="005264FE"/>
    <w:rsid w:val="00531818"/>
    <w:rsid w:val="00531D4B"/>
    <w:rsid w:val="00533BA4"/>
    <w:rsid w:val="00534472"/>
    <w:rsid w:val="00534852"/>
    <w:rsid w:val="005368F4"/>
    <w:rsid w:val="00537630"/>
    <w:rsid w:val="0054100B"/>
    <w:rsid w:val="00542596"/>
    <w:rsid w:val="00555191"/>
    <w:rsid w:val="005578B4"/>
    <w:rsid w:val="00565CC0"/>
    <w:rsid w:val="00565FA5"/>
    <w:rsid w:val="005719A1"/>
    <w:rsid w:val="005736EA"/>
    <w:rsid w:val="0057436B"/>
    <w:rsid w:val="005760E9"/>
    <w:rsid w:val="00577836"/>
    <w:rsid w:val="00581D81"/>
    <w:rsid w:val="0058374B"/>
    <w:rsid w:val="005837E8"/>
    <w:rsid w:val="005852B5"/>
    <w:rsid w:val="00597B62"/>
    <w:rsid w:val="005A5D92"/>
    <w:rsid w:val="005B1F2E"/>
    <w:rsid w:val="005B29E5"/>
    <w:rsid w:val="005B48EC"/>
    <w:rsid w:val="005B4E7D"/>
    <w:rsid w:val="005C16C1"/>
    <w:rsid w:val="005C248A"/>
    <w:rsid w:val="005C5BFC"/>
    <w:rsid w:val="005C7C17"/>
    <w:rsid w:val="005D0DE6"/>
    <w:rsid w:val="005D19CB"/>
    <w:rsid w:val="005D21D6"/>
    <w:rsid w:val="005D3071"/>
    <w:rsid w:val="005D492C"/>
    <w:rsid w:val="005E0884"/>
    <w:rsid w:val="005E7FE1"/>
    <w:rsid w:val="005F0AFA"/>
    <w:rsid w:val="005F1BD5"/>
    <w:rsid w:val="005F40CD"/>
    <w:rsid w:val="00607CF8"/>
    <w:rsid w:val="00623408"/>
    <w:rsid w:val="00623620"/>
    <w:rsid w:val="00623B42"/>
    <w:rsid w:val="00625796"/>
    <w:rsid w:val="00627762"/>
    <w:rsid w:val="00631BBC"/>
    <w:rsid w:val="00633D96"/>
    <w:rsid w:val="00634F95"/>
    <w:rsid w:val="006401DC"/>
    <w:rsid w:val="0064537F"/>
    <w:rsid w:val="00647122"/>
    <w:rsid w:val="00651554"/>
    <w:rsid w:val="00651A1D"/>
    <w:rsid w:val="00653984"/>
    <w:rsid w:val="00661259"/>
    <w:rsid w:val="0066302E"/>
    <w:rsid w:val="006654B1"/>
    <w:rsid w:val="006656D7"/>
    <w:rsid w:val="00671EC3"/>
    <w:rsid w:val="00681230"/>
    <w:rsid w:val="00685335"/>
    <w:rsid w:val="00690C29"/>
    <w:rsid w:val="00692EE7"/>
    <w:rsid w:val="00693ECE"/>
    <w:rsid w:val="00696EB4"/>
    <w:rsid w:val="0069774F"/>
    <w:rsid w:val="006A0AA5"/>
    <w:rsid w:val="006A17B8"/>
    <w:rsid w:val="006A2A9A"/>
    <w:rsid w:val="006A2BAF"/>
    <w:rsid w:val="006A45C2"/>
    <w:rsid w:val="006A6476"/>
    <w:rsid w:val="006B38E9"/>
    <w:rsid w:val="006B44C6"/>
    <w:rsid w:val="006B63C8"/>
    <w:rsid w:val="006C0BCF"/>
    <w:rsid w:val="006C19E5"/>
    <w:rsid w:val="006C6204"/>
    <w:rsid w:val="006D03EC"/>
    <w:rsid w:val="006D2150"/>
    <w:rsid w:val="006D45B9"/>
    <w:rsid w:val="006E1320"/>
    <w:rsid w:val="006E2131"/>
    <w:rsid w:val="006E228A"/>
    <w:rsid w:val="006E260F"/>
    <w:rsid w:val="006E495B"/>
    <w:rsid w:val="006E50B5"/>
    <w:rsid w:val="006E6CF0"/>
    <w:rsid w:val="006E74A0"/>
    <w:rsid w:val="006F1127"/>
    <w:rsid w:val="006F175E"/>
    <w:rsid w:val="006F2CA0"/>
    <w:rsid w:val="006F44BD"/>
    <w:rsid w:val="006F4BBE"/>
    <w:rsid w:val="006F5A1C"/>
    <w:rsid w:val="006F7728"/>
    <w:rsid w:val="00701317"/>
    <w:rsid w:val="00705F53"/>
    <w:rsid w:val="0071042D"/>
    <w:rsid w:val="00710F58"/>
    <w:rsid w:val="00717FD9"/>
    <w:rsid w:val="00721761"/>
    <w:rsid w:val="00722FF0"/>
    <w:rsid w:val="0072308A"/>
    <w:rsid w:val="00723C45"/>
    <w:rsid w:val="0072426A"/>
    <w:rsid w:val="00725174"/>
    <w:rsid w:val="00730B06"/>
    <w:rsid w:val="00733F92"/>
    <w:rsid w:val="00734C13"/>
    <w:rsid w:val="00736F27"/>
    <w:rsid w:val="00741554"/>
    <w:rsid w:val="00742CAA"/>
    <w:rsid w:val="00743E23"/>
    <w:rsid w:val="00745341"/>
    <w:rsid w:val="007512C0"/>
    <w:rsid w:val="0075254F"/>
    <w:rsid w:val="00754420"/>
    <w:rsid w:val="00757EE8"/>
    <w:rsid w:val="0076077D"/>
    <w:rsid w:val="007608BE"/>
    <w:rsid w:val="00760B35"/>
    <w:rsid w:val="00762F0E"/>
    <w:rsid w:val="00763B76"/>
    <w:rsid w:val="007662A2"/>
    <w:rsid w:val="00771A15"/>
    <w:rsid w:val="00774107"/>
    <w:rsid w:val="007751B2"/>
    <w:rsid w:val="00775296"/>
    <w:rsid w:val="007778F0"/>
    <w:rsid w:val="0078249F"/>
    <w:rsid w:val="00782A96"/>
    <w:rsid w:val="00785927"/>
    <w:rsid w:val="007877E4"/>
    <w:rsid w:val="00791871"/>
    <w:rsid w:val="007A26D4"/>
    <w:rsid w:val="007A3A29"/>
    <w:rsid w:val="007A5C4A"/>
    <w:rsid w:val="007A6EE7"/>
    <w:rsid w:val="007A7C90"/>
    <w:rsid w:val="007B0C49"/>
    <w:rsid w:val="007B1990"/>
    <w:rsid w:val="007B3681"/>
    <w:rsid w:val="007B6485"/>
    <w:rsid w:val="007C28B0"/>
    <w:rsid w:val="007C3B1F"/>
    <w:rsid w:val="007C5142"/>
    <w:rsid w:val="007C5839"/>
    <w:rsid w:val="007D0B07"/>
    <w:rsid w:val="007D2A9E"/>
    <w:rsid w:val="007E3F14"/>
    <w:rsid w:val="007F5373"/>
    <w:rsid w:val="007F6422"/>
    <w:rsid w:val="00800973"/>
    <w:rsid w:val="00800E5C"/>
    <w:rsid w:val="00801D2F"/>
    <w:rsid w:val="00803B15"/>
    <w:rsid w:val="00803F80"/>
    <w:rsid w:val="00806622"/>
    <w:rsid w:val="008106E4"/>
    <w:rsid w:val="00811295"/>
    <w:rsid w:val="008113BE"/>
    <w:rsid w:val="00817B7A"/>
    <w:rsid w:val="00820B53"/>
    <w:rsid w:val="00821B12"/>
    <w:rsid w:val="00830104"/>
    <w:rsid w:val="00831765"/>
    <w:rsid w:val="008318ED"/>
    <w:rsid w:val="00834779"/>
    <w:rsid w:val="00840EE0"/>
    <w:rsid w:val="00843792"/>
    <w:rsid w:val="00845992"/>
    <w:rsid w:val="0085379D"/>
    <w:rsid w:val="008562E3"/>
    <w:rsid w:val="008563A3"/>
    <w:rsid w:val="00861918"/>
    <w:rsid w:val="008623F9"/>
    <w:rsid w:val="008669E5"/>
    <w:rsid w:val="00866A7B"/>
    <w:rsid w:val="00872517"/>
    <w:rsid w:val="008732B0"/>
    <w:rsid w:val="008829DA"/>
    <w:rsid w:val="008902E5"/>
    <w:rsid w:val="00891B54"/>
    <w:rsid w:val="00893058"/>
    <w:rsid w:val="0089312E"/>
    <w:rsid w:val="00896F27"/>
    <w:rsid w:val="00897755"/>
    <w:rsid w:val="008B2B19"/>
    <w:rsid w:val="008B2D20"/>
    <w:rsid w:val="008B5A3F"/>
    <w:rsid w:val="008C3ECC"/>
    <w:rsid w:val="008C45F4"/>
    <w:rsid w:val="008C48A5"/>
    <w:rsid w:val="008C4A7A"/>
    <w:rsid w:val="008C7BF7"/>
    <w:rsid w:val="008C7E94"/>
    <w:rsid w:val="008D0B44"/>
    <w:rsid w:val="008E3DA9"/>
    <w:rsid w:val="008F361F"/>
    <w:rsid w:val="008F7B74"/>
    <w:rsid w:val="00900469"/>
    <w:rsid w:val="009022ED"/>
    <w:rsid w:val="0090309F"/>
    <w:rsid w:val="00903DF4"/>
    <w:rsid w:val="009051F9"/>
    <w:rsid w:val="0090565F"/>
    <w:rsid w:val="00905A56"/>
    <w:rsid w:val="00905F50"/>
    <w:rsid w:val="00906AD6"/>
    <w:rsid w:val="0091333C"/>
    <w:rsid w:val="00913B9F"/>
    <w:rsid w:val="00914AAE"/>
    <w:rsid w:val="0091577E"/>
    <w:rsid w:val="00915BA3"/>
    <w:rsid w:val="00917371"/>
    <w:rsid w:val="00925306"/>
    <w:rsid w:val="00927882"/>
    <w:rsid w:val="0093215E"/>
    <w:rsid w:val="0093311F"/>
    <w:rsid w:val="00933DAE"/>
    <w:rsid w:val="00934225"/>
    <w:rsid w:val="00935327"/>
    <w:rsid w:val="00945B0A"/>
    <w:rsid w:val="00956846"/>
    <w:rsid w:val="0096070A"/>
    <w:rsid w:val="009713FE"/>
    <w:rsid w:val="00973552"/>
    <w:rsid w:val="00974BF6"/>
    <w:rsid w:val="0097709C"/>
    <w:rsid w:val="00982F97"/>
    <w:rsid w:val="00985214"/>
    <w:rsid w:val="00986B2D"/>
    <w:rsid w:val="00990726"/>
    <w:rsid w:val="00993272"/>
    <w:rsid w:val="0099380B"/>
    <w:rsid w:val="00993A7A"/>
    <w:rsid w:val="00995E7F"/>
    <w:rsid w:val="009A05AB"/>
    <w:rsid w:val="009C272C"/>
    <w:rsid w:val="009C3D49"/>
    <w:rsid w:val="009D0F1C"/>
    <w:rsid w:val="009D4292"/>
    <w:rsid w:val="009D45D0"/>
    <w:rsid w:val="009D6987"/>
    <w:rsid w:val="009E33E8"/>
    <w:rsid w:val="009E363F"/>
    <w:rsid w:val="009E39BA"/>
    <w:rsid w:val="00A00EF9"/>
    <w:rsid w:val="00A039C9"/>
    <w:rsid w:val="00A06F80"/>
    <w:rsid w:val="00A10B1C"/>
    <w:rsid w:val="00A13599"/>
    <w:rsid w:val="00A14621"/>
    <w:rsid w:val="00A14F23"/>
    <w:rsid w:val="00A15F05"/>
    <w:rsid w:val="00A17774"/>
    <w:rsid w:val="00A23015"/>
    <w:rsid w:val="00A23E10"/>
    <w:rsid w:val="00A241A5"/>
    <w:rsid w:val="00A25A60"/>
    <w:rsid w:val="00A31B2D"/>
    <w:rsid w:val="00A32150"/>
    <w:rsid w:val="00A33DA1"/>
    <w:rsid w:val="00A341B0"/>
    <w:rsid w:val="00A422FC"/>
    <w:rsid w:val="00A43A34"/>
    <w:rsid w:val="00A50FA5"/>
    <w:rsid w:val="00A51E15"/>
    <w:rsid w:val="00A5342C"/>
    <w:rsid w:val="00A564DA"/>
    <w:rsid w:val="00A5790F"/>
    <w:rsid w:val="00A6617F"/>
    <w:rsid w:val="00A70A9E"/>
    <w:rsid w:val="00A73EB2"/>
    <w:rsid w:val="00A76717"/>
    <w:rsid w:val="00A87940"/>
    <w:rsid w:val="00A9127D"/>
    <w:rsid w:val="00A93557"/>
    <w:rsid w:val="00A95A15"/>
    <w:rsid w:val="00AA1042"/>
    <w:rsid w:val="00AA1969"/>
    <w:rsid w:val="00AA2AB0"/>
    <w:rsid w:val="00AA31EF"/>
    <w:rsid w:val="00AA5212"/>
    <w:rsid w:val="00AA5BB7"/>
    <w:rsid w:val="00AB20F6"/>
    <w:rsid w:val="00AB7AF3"/>
    <w:rsid w:val="00AC0AF2"/>
    <w:rsid w:val="00AC294D"/>
    <w:rsid w:val="00AC339A"/>
    <w:rsid w:val="00AC36DF"/>
    <w:rsid w:val="00AC6484"/>
    <w:rsid w:val="00AD68A3"/>
    <w:rsid w:val="00AD74F0"/>
    <w:rsid w:val="00AD768E"/>
    <w:rsid w:val="00AE0EFE"/>
    <w:rsid w:val="00AE4AA8"/>
    <w:rsid w:val="00AE7CB7"/>
    <w:rsid w:val="00AF7FA3"/>
    <w:rsid w:val="00B015BC"/>
    <w:rsid w:val="00B0710C"/>
    <w:rsid w:val="00B145A8"/>
    <w:rsid w:val="00B17C58"/>
    <w:rsid w:val="00B26538"/>
    <w:rsid w:val="00B278DE"/>
    <w:rsid w:val="00B30228"/>
    <w:rsid w:val="00B30539"/>
    <w:rsid w:val="00B37CDD"/>
    <w:rsid w:val="00B47914"/>
    <w:rsid w:val="00B50BDB"/>
    <w:rsid w:val="00B66DE8"/>
    <w:rsid w:val="00B7592C"/>
    <w:rsid w:val="00B81E5D"/>
    <w:rsid w:val="00B85897"/>
    <w:rsid w:val="00BA2023"/>
    <w:rsid w:val="00BA5C8B"/>
    <w:rsid w:val="00BB2B59"/>
    <w:rsid w:val="00BB5307"/>
    <w:rsid w:val="00BB674F"/>
    <w:rsid w:val="00BB7C9E"/>
    <w:rsid w:val="00BC1B65"/>
    <w:rsid w:val="00BC2688"/>
    <w:rsid w:val="00BC378D"/>
    <w:rsid w:val="00BD2670"/>
    <w:rsid w:val="00BD401F"/>
    <w:rsid w:val="00BD5E7A"/>
    <w:rsid w:val="00BD6D3D"/>
    <w:rsid w:val="00BF1516"/>
    <w:rsid w:val="00BF57A1"/>
    <w:rsid w:val="00BF5B7D"/>
    <w:rsid w:val="00C142D6"/>
    <w:rsid w:val="00C15876"/>
    <w:rsid w:val="00C238D3"/>
    <w:rsid w:val="00C24CAA"/>
    <w:rsid w:val="00C261C1"/>
    <w:rsid w:val="00C27322"/>
    <w:rsid w:val="00C32615"/>
    <w:rsid w:val="00C357A6"/>
    <w:rsid w:val="00C37AC4"/>
    <w:rsid w:val="00C4111A"/>
    <w:rsid w:val="00C414F1"/>
    <w:rsid w:val="00C51161"/>
    <w:rsid w:val="00C525F0"/>
    <w:rsid w:val="00C55475"/>
    <w:rsid w:val="00C615B0"/>
    <w:rsid w:val="00C62786"/>
    <w:rsid w:val="00C65132"/>
    <w:rsid w:val="00C65512"/>
    <w:rsid w:val="00C65D74"/>
    <w:rsid w:val="00C70A94"/>
    <w:rsid w:val="00C7450D"/>
    <w:rsid w:val="00C745F8"/>
    <w:rsid w:val="00C75E1E"/>
    <w:rsid w:val="00C76333"/>
    <w:rsid w:val="00C86591"/>
    <w:rsid w:val="00C92128"/>
    <w:rsid w:val="00C945EC"/>
    <w:rsid w:val="00C94957"/>
    <w:rsid w:val="00CA01A7"/>
    <w:rsid w:val="00CA128D"/>
    <w:rsid w:val="00CA1ABC"/>
    <w:rsid w:val="00CA26EB"/>
    <w:rsid w:val="00CA28D3"/>
    <w:rsid w:val="00CA3164"/>
    <w:rsid w:val="00CA4B5C"/>
    <w:rsid w:val="00CA5833"/>
    <w:rsid w:val="00CA6017"/>
    <w:rsid w:val="00CB5D6F"/>
    <w:rsid w:val="00CC2825"/>
    <w:rsid w:val="00CC4D12"/>
    <w:rsid w:val="00CC6673"/>
    <w:rsid w:val="00CC742A"/>
    <w:rsid w:val="00CE4542"/>
    <w:rsid w:val="00CE5462"/>
    <w:rsid w:val="00CE5DFC"/>
    <w:rsid w:val="00CF20D5"/>
    <w:rsid w:val="00CF218E"/>
    <w:rsid w:val="00CF3D80"/>
    <w:rsid w:val="00CF5D6D"/>
    <w:rsid w:val="00CF64F7"/>
    <w:rsid w:val="00CF6705"/>
    <w:rsid w:val="00CF69BD"/>
    <w:rsid w:val="00D03D74"/>
    <w:rsid w:val="00D077BE"/>
    <w:rsid w:val="00D07940"/>
    <w:rsid w:val="00D1210F"/>
    <w:rsid w:val="00D16192"/>
    <w:rsid w:val="00D268B7"/>
    <w:rsid w:val="00D336E2"/>
    <w:rsid w:val="00D33C66"/>
    <w:rsid w:val="00D4211C"/>
    <w:rsid w:val="00D476C9"/>
    <w:rsid w:val="00D50C4A"/>
    <w:rsid w:val="00D611AD"/>
    <w:rsid w:val="00D64D46"/>
    <w:rsid w:val="00D654BB"/>
    <w:rsid w:val="00D67190"/>
    <w:rsid w:val="00D7161C"/>
    <w:rsid w:val="00D71B3C"/>
    <w:rsid w:val="00D73664"/>
    <w:rsid w:val="00D82B97"/>
    <w:rsid w:val="00D85F13"/>
    <w:rsid w:val="00D9173F"/>
    <w:rsid w:val="00D938F4"/>
    <w:rsid w:val="00D945E4"/>
    <w:rsid w:val="00D94AA3"/>
    <w:rsid w:val="00DA6C3E"/>
    <w:rsid w:val="00DA6F11"/>
    <w:rsid w:val="00DB3F6E"/>
    <w:rsid w:val="00DB4301"/>
    <w:rsid w:val="00DB658E"/>
    <w:rsid w:val="00DC3C89"/>
    <w:rsid w:val="00DC66F2"/>
    <w:rsid w:val="00DD1E5F"/>
    <w:rsid w:val="00DD33C3"/>
    <w:rsid w:val="00DD3A95"/>
    <w:rsid w:val="00DD449B"/>
    <w:rsid w:val="00DD6DF6"/>
    <w:rsid w:val="00DE0956"/>
    <w:rsid w:val="00DE12BB"/>
    <w:rsid w:val="00DE1A33"/>
    <w:rsid w:val="00DE41E2"/>
    <w:rsid w:val="00DE6E18"/>
    <w:rsid w:val="00DF20CD"/>
    <w:rsid w:val="00DF5041"/>
    <w:rsid w:val="00E007BF"/>
    <w:rsid w:val="00E013D2"/>
    <w:rsid w:val="00E035E9"/>
    <w:rsid w:val="00E0451C"/>
    <w:rsid w:val="00E06414"/>
    <w:rsid w:val="00E06430"/>
    <w:rsid w:val="00E12664"/>
    <w:rsid w:val="00E1386D"/>
    <w:rsid w:val="00E1785F"/>
    <w:rsid w:val="00E2024E"/>
    <w:rsid w:val="00E20B16"/>
    <w:rsid w:val="00E20F6D"/>
    <w:rsid w:val="00E21F10"/>
    <w:rsid w:val="00E23FEF"/>
    <w:rsid w:val="00E30D9C"/>
    <w:rsid w:val="00E35D5E"/>
    <w:rsid w:val="00E4052E"/>
    <w:rsid w:val="00E418D8"/>
    <w:rsid w:val="00E44BA6"/>
    <w:rsid w:val="00E45F09"/>
    <w:rsid w:val="00E47E8B"/>
    <w:rsid w:val="00E47F09"/>
    <w:rsid w:val="00E50631"/>
    <w:rsid w:val="00E550F0"/>
    <w:rsid w:val="00E556AA"/>
    <w:rsid w:val="00E57287"/>
    <w:rsid w:val="00E57842"/>
    <w:rsid w:val="00E62FDD"/>
    <w:rsid w:val="00E633CF"/>
    <w:rsid w:val="00E63FC7"/>
    <w:rsid w:val="00E6426E"/>
    <w:rsid w:val="00E67AF0"/>
    <w:rsid w:val="00E81EB1"/>
    <w:rsid w:val="00E92208"/>
    <w:rsid w:val="00E972BE"/>
    <w:rsid w:val="00E9789E"/>
    <w:rsid w:val="00EB33CD"/>
    <w:rsid w:val="00EB40B9"/>
    <w:rsid w:val="00EB6D35"/>
    <w:rsid w:val="00EB6E00"/>
    <w:rsid w:val="00EC04C6"/>
    <w:rsid w:val="00EC242C"/>
    <w:rsid w:val="00EC40AB"/>
    <w:rsid w:val="00EC608C"/>
    <w:rsid w:val="00EC6D9E"/>
    <w:rsid w:val="00EC6DA5"/>
    <w:rsid w:val="00ED319C"/>
    <w:rsid w:val="00ED4ABE"/>
    <w:rsid w:val="00ED65CE"/>
    <w:rsid w:val="00EE2FCE"/>
    <w:rsid w:val="00EE6E16"/>
    <w:rsid w:val="00EE75C2"/>
    <w:rsid w:val="00EF0B80"/>
    <w:rsid w:val="00EF1263"/>
    <w:rsid w:val="00F03962"/>
    <w:rsid w:val="00F03EFC"/>
    <w:rsid w:val="00F10AD8"/>
    <w:rsid w:val="00F1181C"/>
    <w:rsid w:val="00F12790"/>
    <w:rsid w:val="00F13262"/>
    <w:rsid w:val="00F324CC"/>
    <w:rsid w:val="00F3325E"/>
    <w:rsid w:val="00F33B78"/>
    <w:rsid w:val="00F34BEA"/>
    <w:rsid w:val="00F36708"/>
    <w:rsid w:val="00F414D9"/>
    <w:rsid w:val="00F42DBC"/>
    <w:rsid w:val="00F43053"/>
    <w:rsid w:val="00F4464B"/>
    <w:rsid w:val="00F4532F"/>
    <w:rsid w:val="00F46D56"/>
    <w:rsid w:val="00F5260D"/>
    <w:rsid w:val="00F5311F"/>
    <w:rsid w:val="00F54E48"/>
    <w:rsid w:val="00F55282"/>
    <w:rsid w:val="00F5780B"/>
    <w:rsid w:val="00F625C5"/>
    <w:rsid w:val="00F647F6"/>
    <w:rsid w:val="00F6668C"/>
    <w:rsid w:val="00F6793F"/>
    <w:rsid w:val="00F7057F"/>
    <w:rsid w:val="00F70E8F"/>
    <w:rsid w:val="00F74FA3"/>
    <w:rsid w:val="00F755A3"/>
    <w:rsid w:val="00F804CC"/>
    <w:rsid w:val="00F81086"/>
    <w:rsid w:val="00F83DC2"/>
    <w:rsid w:val="00F91CA7"/>
    <w:rsid w:val="00F92418"/>
    <w:rsid w:val="00F94BB1"/>
    <w:rsid w:val="00F95CF8"/>
    <w:rsid w:val="00F97B7D"/>
    <w:rsid w:val="00FA2A7F"/>
    <w:rsid w:val="00FA6BBA"/>
    <w:rsid w:val="00FB352A"/>
    <w:rsid w:val="00FC1CB0"/>
    <w:rsid w:val="00FC202D"/>
    <w:rsid w:val="00FC394D"/>
    <w:rsid w:val="00FD0C2C"/>
    <w:rsid w:val="00FD0C6C"/>
    <w:rsid w:val="00FD3EC6"/>
    <w:rsid w:val="00FD6A31"/>
    <w:rsid w:val="00FE15AE"/>
    <w:rsid w:val="00FE35B8"/>
    <w:rsid w:val="00FE5EEC"/>
    <w:rsid w:val="00FF18ED"/>
    <w:rsid w:val="00FF402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77D"/>
    <w:rPr>
      <w:rFonts w:ascii="Arial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D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77D"/>
    <w:rPr>
      <w:rFonts w:ascii="Arial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D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53B7-DDDD-4B61-AF54-DAEF3A7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Toshiba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Maureen Jacobs</cp:lastModifiedBy>
  <cp:revision>2</cp:revision>
  <cp:lastPrinted>2014-09-17T20:23:00Z</cp:lastPrinted>
  <dcterms:created xsi:type="dcterms:W3CDTF">2014-11-12T16:53:00Z</dcterms:created>
  <dcterms:modified xsi:type="dcterms:W3CDTF">2014-11-12T16:53:00Z</dcterms:modified>
</cp:coreProperties>
</file>