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183"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B17D40" w:rsidTr="00CF6FBB">
        <w:trPr>
          <w:trHeight w:val="15560"/>
        </w:trPr>
        <w:tc>
          <w:tcPr>
            <w:tcW w:w="236" w:type="dxa"/>
            <w:shd w:val="clear" w:color="auto" w:fill="D9D9D9" w:themeFill="background1" w:themeFillShade="D9"/>
          </w:tcPr>
          <w:p w:rsidR="00B17D40" w:rsidRDefault="00B17D40" w:rsidP="00CF6FBB"/>
        </w:tc>
      </w:tr>
    </w:tbl>
    <w:tbl>
      <w:tblPr>
        <w:tblpPr w:leftFromText="180" w:rightFromText="180" w:vertAnchor="text" w:tblpX="392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2"/>
      </w:tblGrid>
      <w:tr w:rsidR="004F0B44" w:rsidTr="004F0B44">
        <w:trPr>
          <w:trHeight w:val="14926"/>
        </w:trPr>
        <w:tc>
          <w:tcPr>
            <w:tcW w:w="7392" w:type="dxa"/>
          </w:tcPr>
          <w:p w:rsidR="00EC2EF4" w:rsidRDefault="004F0B44" w:rsidP="004F0B44">
            <w:pPr>
              <w:rPr>
                <w:noProof/>
              </w:rPr>
            </w:pPr>
            <w:r>
              <w:rPr>
                <w:noProof/>
              </w:rPr>
              <w:t xml:space="preserve">                                       </w:t>
            </w:r>
          </w:p>
          <w:p w:rsidR="004F0B44" w:rsidRDefault="004F0B44" w:rsidP="004F0B44">
            <w:pPr>
              <w:rPr>
                <w:noProof/>
              </w:rPr>
            </w:pPr>
            <w:r>
              <w:rPr>
                <w:noProof/>
              </w:rPr>
              <w:t xml:space="preserve"> </w:t>
            </w:r>
            <w:r w:rsidR="00EC2EF4">
              <w:rPr>
                <w:noProof/>
              </w:rPr>
              <w:t xml:space="preserve">                          </w:t>
            </w:r>
            <w:r>
              <w:rPr>
                <w:noProof/>
              </w:rPr>
              <w:t xml:space="preserve"> </w:t>
            </w:r>
            <w:r w:rsidR="00EC2EF4">
              <w:rPr>
                <w:noProof/>
              </w:rPr>
              <w:t xml:space="preserve">          </w:t>
            </w:r>
            <w:r>
              <w:rPr>
                <w:noProof/>
              </w:rPr>
              <w:t xml:space="preserve"> </w:t>
            </w:r>
            <w:r w:rsidR="00EC2EF4">
              <w:rPr>
                <w:noProof/>
              </w:rPr>
              <w:drawing>
                <wp:inline distT="0" distB="0" distL="0" distR="0" wp14:anchorId="218C8DB6" wp14:editId="28253E22">
                  <wp:extent cx="2137326" cy="975360"/>
                  <wp:effectExtent l="0" t="0" r="0" b="0"/>
                  <wp:docPr id="5" name="Picture 5" descr="C:\Users\eileen_crump\Documents\Classified Senate\Classified Senate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leen_crump\Documents\Classified Senate\Classified Senate Logo 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112" cy="982564"/>
                          </a:xfrm>
                          <a:prstGeom prst="rect">
                            <a:avLst/>
                          </a:prstGeom>
                          <a:noFill/>
                          <a:ln>
                            <a:noFill/>
                          </a:ln>
                        </pic:spPr>
                      </pic:pic>
                    </a:graphicData>
                  </a:graphic>
                </wp:inline>
              </w:drawing>
            </w:r>
          </w:p>
          <w:p w:rsidR="004F0B44" w:rsidRDefault="004F0B44" w:rsidP="00EC2EF4">
            <w:pPr>
              <w:spacing w:after="0"/>
              <w:jc w:val="center"/>
            </w:pPr>
            <w:r>
              <w:t>AGENDA</w:t>
            </w:r>
          </w:p>
          <w:p w:rsidR="004F0B44" w:rsidRDefault="004F0B44" w:rsidP="004F0B44">
            <w:pPr>
              <w:spacing w:after="0"/>
            </w:pPr>
          </w:p>
          <w:p w:rsidR="004F0B44" w:rsidRDefault="00B33274" w:rsidP="004F0B44">
            <w:pPr>
              <w:spacing w:after="0"/>
            </w:pPr>
            <w:r>
              <w:t xml:space="preserve">    </w:t>
            </w:r>
            <w:r w:rsidR="004F0B44">
              <w:t>Date:</w:t>
            </w:r>
            <w:r w:rsidR="00CA6722">
              <w:t xml:space="preserve"> 11</w:t>
            </w:r>
            <w:r w:rsidR="008410EC">
              <w:t>/</w:t>
            </w:r>
            <w:r w:rsidR="002E65AF">
              <w:t>13</w:t>
            </w:r>
            <w:r w:rsidR="008410EC">
              <w:t>/2015</w:t>
            </w:r>
          </w:p>
          <w:p w:rsidR="004F0B44" w:rsidRDefault="00B33274" w:rsidP="004F0B44">
            <w:pPr>
              <w:spacing w:after="0"/>
            </w:pPr>
            <w:r>
              <w:t xml:space="preserve">    </w:t>
            </w:r>
            <w:r w:rsidR="004F0B44">
              <w:t>Time:</w:t>
            </w:r>
            <w:r w:rsidR="008410EC">
              <w:t xml:space="preserve"> 10 a.m.</w:t>
            </w:r>
            <w:r w:rsidR="008B086C">
              <w:t xml:space="preserve"> to 11a</w:t>
            </w:r>
            <w:r w:rsidR="00981A4F">
              <w:t>.m.</w:t>
            </w:r>
            <w:bookmarkStart w:id="0" w:name="_GoBack"/>
            <w:bookmarkEnd w:id="0"/>
            <w:r w:rsidR="000F33B5">
              <w:t>, Thanksgiving potluck lunch to follow</w:t>
            </w:r>
          </w:p>
          <w:p w:rsidR="004F0B44" w:rsidRDefault="00B33274" w:rsidP="004F0B44">
            <w:pPr>
              <w:spacing w:after="0"/>
            </w:pPr>
            <w:r>
              <w:t xml:space="preserve">    </w:t>
            </w:r>
            <w:r w:rsidR="004F0B44">
              <w:t>Room:</w:t>
            </w:r>
            <w:r w:rsidR="008410EC">
              <w:t xml:space="preserve"> CCCR</w:t>
            </w:r>
          </w:p>
          <w:p w:rsidR="004F0B44" w:rsidRDefault="004F0B44" w:rsidP="004F0B44">
            <w:pPr>
              <w:spacing w:after="0"/>
            </w:pPr>
          </w:p>
          <w:p w:rsidR="004F0B44" w:rsidRDefault="004F0B44" w:rsidP="008B086C">
            <w:pPr>
              <w:pStyle w:val="ListParagraph"/>
              <w:numPr>
                <w:ilvl w:val="0"/>
                <w:numId w:val="5"/>
              </w:numPr>
              <w:spacing w:after="0"/>
            </w:pPr>
            <w:r>
              <w:t>Call to Order</w:t>
            </w:r>
          </w:p>
          <w:p w:rsidR="004F0B44" w:rsidRDefault="004F0B44" w:rsidP="008B086C">
            <w:pPr>
              <w:pStyle w:val="ListParagraph"/>
              <w:numPr>
                <w:ilvl w:val="0"/>
                <w:numId w:val="5"/>
              </w:numPr>
              <w:spacing w:after="0"/>
            </w:pPr>
            <w:r>
              <w:t>Adoption of the Agenda</w:t>
            </w:r>
          </w:p>
          <w:p w:rsidR="0049421F" w:rsidRDefault="0049421F" w:rsidP="0049421F">
            <w:pPr>
              <w:pStyle w:val="ListParagraph"/>
              <w:numPr>
                <w:ilvl w:val="0"/>
                <w:numId w:val="5"/>
              </w:numPr>
              <w:spacing w:after="0"/>
            </w:pPr>
            <w:r>
              <w:t>Public Comments</w:t>
            </w:r>
          </w:p>
          <w:p w:rsidR="00400063" w:rsidRDefault="00400063" w:rsidP="008B086C">
            <w:pPr>
              <w:pStyle w:val="ListParagraph"/>
              <w:numPr>
                <w:ilvl w:val="0"/>
                <w:numId w:val="5"/>
              </w:numPr>
              <w:spacing w:after="0"/>
            </w:pPr>
            <w:r>
              <w:t>Guest introductions</w:t>
            </w:r>
          </w:p>
          <w:p w:rsidR="0049421F" w:rsidRDefault="0049421F" w:rsidP="0049421F">
            <w:pPr>
              <w:pStyle w:val="ListParagraph"/>
              <w:spacing w:after="0"/>
              <w:ind w:left="1080"/>
            </w:pPr>
            <w:r>
              <w:t>a. Chancellor – Bernard Luskin</w:t>
            </w:r>
          </w:p>
          <w:p w:rsidR="0049421F" w:rsidRDefault="0049421F" w:rsidP="0049421F">
            <w:pPr>
              <w:pStyle w:val="ListParagraph"/>
              <w:spacing w:after="0"/>
              <w:ind w:left="1080"/>
            </w:pPr>
            <w:r>
              <w:t>b. Chair Professional Development Comm. - Sharon Beynon</w:t>
            </w:r>
          </w:p>
          <w:p w:rsidR="004F0B44" w:rsidRDefault="004F0B44" w:rsidP="008B086C">
            <w:pPr>
              <w:pStyle w:val="ListParagraph"/>
              <w:numPr>
                <w:ilvl w:val="0"/>
                <w:numId w:val="5"/>
              </w:numPr>
              <w:spacing w:after="0"/>
            </w:pPr>
            <w:r>
              <w:t>Approval of Minutes</w:t>
            </w:r>
          </w:p>
          <w:p w:rsidR="00400063" w:rsidRDefault="00400063" w:rsidP="008B086C">
            <w:pPr>
              <w:pStyle w:val="ListParagraph"/>
              <w:numPr>
                <w:ilvl w:val="0"/>
                <w:numId w:val="5"/>
              </w:numPr>
              <w:spacing w:after="0"/>
            </w:pPr>
            <w:r>
              <w:t>Treasures report</w:t>
            </w:r>
            <w:r w:rsidR="00A87F58">
              <w:t xml:space="preserve"> - Rachel</w:t>
            </w:r>
          </w:p>
          <w:p w:rsidR="00D82890" w:rsidRDefault="00400063" w:rsidP="00D82890">
            <w:pPr>
              <w:pStyle w:val="ListParagraph"/>
              <w:numPr>
                <w:ilvl w:val="0"/>
                <w:numId w:val="5"/>
              </w:numPr>
              <w:spacing w:after="0"/>
            </w:pPr>
            <w:r>
              <w:t>Action items</w:t>
            </w:r>
          </w:p>
          <w:p w:rsidR="007C2941" w:rsidRDefault="00F81CA6" w:rsidP="00D82890">
            <w:pPr>
              <w:pStyle w:val="ListParagraph"/>
              <w:spacing w:after="0"/>
              <w:ind w:left="1080"/>
            </w:pPr>
            <w:r>
              <w:t>a</w:t>
            </w:r>
            <w:r w:rsidR="007C2941">
              <w:t>. Teaching and Learning Center – Sharon Beynon</w:t>
            </w:r>
          </w:p>
          <w:p w:rsidR="00EC7AA1" w:rsidRDefault="00D82890" w:rsidP="00D82890">
            <w:pPr>
              <w:spacing w:after="0"/>
            </w:pPr>
            <w:r>
              <w:t xml:space="preserve">               8. </w:t>
            </w:r>
            <w:r w:rsidR="00EC7AA1">
              <w:t xml:space="preserve">Information Items </w:t>
            </w:r>
          </w:p>
          <w:p w:rsidR="003B080F" w:rsidRDefault="00F81CA6" w:rsidP="00F81CA6">
            <w:pPr>
              <w:spacing w:after="0"/>
            </w:pPr>
            <w:r>
              <w:t xml:space="preserve">                      </w:t>
            </w:r>
            <w:r w:rsidR="009B37DE">
              <w:t xml:space="preserve">a. </w:t>
            </w:r>
            <w:r w:rsidR="003B080F">
              <w:t>Making Decisions Document – Rick &amp; Peder</w:t>
            </w:r>
          </w:p>
          <w:p w:rsidR="00EC7AA1" w:rsidRDefault="00D82890" w:rsidP="00D82890">
            <w:pPr>
              <w:spacing w:after="0"/>
            </w:pPr>
            <w:r>
              <w:t xml:space="preserve">               9. </w:t>
            </w:r>
            <w:r w:rsidR="00EC7AA1">
              <w:t>SEIU update</w:t>
            </w:r>
            <w:r w:rsidR="000F33B5">
              <w:t xml:space="preserve"> - Olivia</w:t>
            </w:r>
          </w:p>
          <w:p w:rsidR="004F0B44" w:rsidRDefault="00D82890" w:rsidP="00D82890">
            <w:pPr>
              <w:spacing w:after="0"/>
            </w:pPr>
            <w:r>
              <w:t xml:space="preserve">             10. </w:t>
            </w:r>
            <w:r w:rsidR="004F0B44">
              <w:t>For the Good of the Order</w:t>
            </w:r>
          </w:p>
          <w:p w:rsidR="004F0B44" w:rsidRDefault="00D82890" w:rsidP="00D82890">
            <w:pPr>
              <w:spacing w:after="0"/>
            </w:pPr>
            <w:r>
              <w:t xml:space="preserve">             11. </w:t>
            </w:r>
            <w:r w:rsidR="004F0B44">
              <w:t>Adjournment</w:t>
            </w:r>
          </w:p>
          <w:p w:rsidR="001111A4" w:rsidRDefault="001111A4" w:rsidP="00D82890">
            <w:pPr>
              <w:spacing w:after="0"/>
            </w:pPr>
          </w:p>
          <w:p w:rsidR="001111A4" w:rsidRDefault="001111A4" w:rsidP="00D82890">
            <w:pPr>
              <w:spacing w:after="0"/>
            </w:pPr>
          </w:p>
          <w:p w:rsidR="001111A4" w:rsidRDefault="001111A4" w:rsidP="00D82890">
            <w:pPr>
              <w:spacing w:after="0"/>
              <w:rPr>
                <w:sz w:val="44"/>
                <w:szCs w:val="44"/>
              </w:rPr>
            </w:pPr>
            <w:r>
              <w:t xml:space="preserve">              </w:t>
            </w:r>
            <w:r>
              <w:rPr>
                <w:sz w:val="44"/>
                <w:szCs w:val="44"/>
              </w:rPr>
              <w:t>POTLUCK time.</w:t>
            </w:r>
          </w:p>
          <w:p w:rsidR="001111A4" w:rsidRDefault="001111A4" w:rsidP="00D82890">
            <w:pPr>
              <w:spacing w:after="0"/>
              <w:rPr>
                <w:sz w:val="44"/>
                <w:szCs w:val="44"/>
              </w:rPr>
            </w:pPr>
            <w:r>
              <w:rPr>
                <w:sz w:val="44"/>
                <w:szCs w:val="44"/>
              </w:rPr>
              <w:t xml:space="preserve">                      Happy Thanksgiving</w:t>
            </w:r>
          </w:p>
          <w:p w:rsidR="005902B2" w:rsidRDefault="005902B2" w:rsidP="00D82890">
            <w:pPr>
              <w:spacing w:after="0"/>
              <w:rPr>
                <w:sz w:val="44"/>
                <w:szCs w:val="44"/>
              </w:rPr>
            </w:pPr>
          </w:p>
          <w:p w:rsidR="005902B2" w:rsidRPr="005902B2" w:rsidRDefault="005902B2" w:rsidP="00D82890">
            <w:pPr>
              <w:spacing w:after="0"/>
              <w:rPr>
                <w:sz w:val="36"/>
                <w:szCs w:val="36"/>
              </w:rPr>
            </w:pPr>
            <w:r w:rsidRPr="005902B2">
              <w:rPr>
                <w:sz w:val="36"/>
                <w:szCs w:val="36"/>
              </w:rPr>
              <w:t>A special THANK YOU to Lester Tong</w:t>
            </w:r>
          </w:p>
          <w:p w:rsidR="005902B2" w:rsidRPr="001111A4" w:rsidRDefault="00460ADE" w:rsidP="00D82890">
            <w:pPr>
              <w:spacing w:after="0"/>
              <w:rPr>
                <w:sz w:val="44"/>
                <w:szCs w:val="44"/>
              </w:rPr>
            </w:pPr>
            <w:r>
              <w:rPr>
                <w:sz w:val="36"/>
                <w:szCs w:val="36"/>
              </w:rPr>
              <w:t>f</w:t>
            </w:r>
            <w:r w:rsidR="005902B2" w:rsidRPr="005902B2">
              <w:rPr>
                <w:sz w:val="36"/>
                <w:szCs w:val="36"/>
              </w:rPr>
              <w:t xml:space="preserve">or cooking the Ham and Turkey for the </w:t>
            </w:r>
            <w:r>
              <w:rPr>
                <w:sz w:val="36"/>
                <w:szCs w:val="36"/>
              </w:rPr>
              <w:t xml:space="preserve">Classified </w:t>
            </w:r>
            <w:r w:rsidR="005902B2" w:rsidRPr="005902B2">
              <w:rPr>
                <w:sz w:val="36"/>
                <w:szCs w:val="36"/>
              </w:rPr>
              <w:t>Senate.</w:t>
            </w:r>
          </w:p>
        </w:tc>
      </w:tr>
    </w:tbl>
    <w:p w:rsidR="009C2DA3" w:rsidRDefault="004F0B44" w:rsidP="00B17D40">
      <w:pPr>
        <w:pBdr>
          <w:between w:val="single" w:sz="4" w:space="1" w:color="auto"/>
        </w:pBdr>
      </w:pPr>
      <w:r>
        <w:rPr>
          <w:noProof/>
        </w:rPr>
        <w:t xml:space="preserve">      </w:t>
      </w:r>
      <w:r w:rsidR="00814002">
        <w:rPr>
          <w:noProof/>
        </w:rPr>
        <w:drawing>
          <wp:inline distT="0" distB="0" distL="0" distR="0">
            <wp:extent cx="1983971" cy="1002297"/>
            <wp:effectExtent l="0" t="0" r="0" b="7620"/>
            <wp:docPr id="2" name="Picture 2" descr="C:\Users\eileen_crump\Documents\Logos\Ventura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_crump\Documents\Logos\Ventura Colleg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850" cy="1002236"/>
                    </a:xfrm>
                    <a:prstGeom prst="rect">
                      <a:avLst/>
                    </a:prstGeom>
                    <a:noFill/>
                    <a:ln>
                      <a:noFill/>
                    </a:ln>
                  </pic:spPr>
                </pic:pic>
              </a:graphicData>
            </a:graphic>
          </wp:inline>
        </w:drawing>
      </w:r>
      <w:r w:rsidR="009C2DA3">
        <w:tab/>
      </w:r>
      <w:r w:rsidR="00B17D40">
        <w:rPr>
          <w:noProof/>
        </w:rPr>
        <w:t xml:space="preserve">                  </w:t>
      </w:r>
      <w:r w:rsidR="00CF6FBB">
        <w:tab/>
      </w:r>
      <w:r w:rsidR="009C2DA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CF6FBB" w:rsidRPr="005615F3" w:rsidTr="005615F3">
        <w:trPr>
          <w:trHeight w:val="3267"/>
        </w:trPr>
        <w:tc>
          <w:tcPr>
            <w:tcW w:w="3168" w:type="dxa"/>
          </w:tcPr>
          <w:p w:rsidR="00CF6FBB" w:rsidRPr="005615F3" w:rsidRDefault="00CF6FBB">
            <w:pPr>
              <w:rPr>
                <w:b/>
                <w:sz w:val="18"/>
                <w:szCs w:val="18"/>
              </w:rPr>
            </w:pPr>
            <w:r w:rsidRPr="005615F3">
              <w:rPr>
                <w:b/>
                <w:sz w:val="18"/>
                <w:szCs w:val="18"/>
              </w:rPr>
              <w:t>Our College Mission</w:t>
            </w:r>
          </w:p>
          <w:p w:rsidR="00CF6FBB" w:rsidRPr="005615F3" w:rsidRDefault="00CF6FBB">
            <w:pPr>
              <w:rPr>
                <w:sz w:val="18"/>
                <w:szCs w:val="18"/>
              </w:rPr>
            </w:pPr>
            <w:r w:rsidRPr="005615F3">
              <w:rPr>
                <w:sz w:val="18"/>
                <w:szCs w:val="18"/>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tc>
      </w:tr>
    </w:tbl>
    <w:p w:rsidR="005615F3" w:rsidRDefault="005615F3">
      <w:pPr>
        <w:rPr>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665"/>
      </w:tblGrid>
      <w:tr w:rsidR="000F6B05" w:rsidRPr="005615F3" w:rsidTr="000F6B05">
        <w:tc>
          <w:tcPr>
            <w:tcW w:w="2665" w:type="dxa"/>
            <w:shd w:val="clear" w:color="auto" w:fill="D9D9D9" w:themeFill="background1" w:themeFillShade="D9"/>
          </w:tcPr>
          <w:p w:rsidR="00D46B9C" w:rsidRPr="005615F3" w:rsidRDefault="000F6B05">
            <w:pPr>
              <w:rPr>
                <w:sz w:val="20"/>
                <w:szCs w:val="20"/>
              </w:rPr>
            </w:pPr>
            <w:r w:rsidRPr="005615F3">
              <w:rPr>
                <w:sz w:val="20"/>
                <w:szCs w:val="20"/>
              </w:rPr>
              <w:t xml:space="preserve">                          </w:t>
            </w:r>
            <w:r w:rsidR="00D46B9C" w:rsidRPr="005615F3">
              <w:rPr>
                <w:sz w:val="20"/>
                <w:szCs w:val="20"/>
              </w:rPr>
              <w:t>9 + 1</w:t>
            </w:r>
          </w:p>
          <w:p w:rsidR="000F6B05" w:rsidRPr="005615F3" w:rsidRDefault="000F6B05">
            <w:pPr>
              <w:rPr>
                <w:sz w:val="20"/>
                <w:szCs w:val="20"/>
              </w:rPr>
            </w:pPr>
          </w:p>
          <w:p w:rsidR="000F6B05" w:rsidRPr="005615F3" w:rsidRDefault="000F6B05">
            <w:pPr>
              <w:rPr>
                <w:sz w:val="20"/>
                <w:szCs w:val="20"/>
              </w:rPr>
            </w:pPr>
            <w:r w:rsidRPr="005615F3">
              <w:rPr>
                <w:sz w:val="20"/>
                <w:szCs w:val="20"/>
              </w:rPr>
              <w:t>1. Standards or policies regarding   student support and success</w:t>
            </w:r>
          </w:p>
          <w:p w:rsidR="000F6B05" w:rsidRPr="005615F3" w:rsidRDefault="000F6B05">
            <w:pPr>
              <w:rPr>
                <w:sz w:val="20"/>
                <w:szCs w:val="20"/>
              </w:rPr>
            </w:pPr>
            <w:r w:rsidRPr="005615F3">
              <w:rPr>
                <w:sz w:val="20"/>
                <w:szCs w:val="20"/>
              </w:rPr>
              <w:t>2. College governance structures, as related to classified roles</w:t>
            </w:r>
          </w:p>
          <w:p w:rsidR="000F6B05" w:rsidRPr="005615F3" w:rsidRDefault="000F6B05">
            <w:pPr>
              <w:rPr>
                <w:sz w:val="20"/>
                <w:szCs w:val="20"/>
              </w:rPr>
            </w:pPr>
            <w:r w:rsidRPr="005615F3">
              <w:rPr>
                <w:sz w:val="20"/>
                <w:szCs w:val="20"/>
              </w:rPr>
              <w:t>3. Classified roles and involvement in accreditation processes</w:t>
            </w:r>
          </w:p>
          <w:p w:rsidR="000F6B05" w:rsidRPr="005615F3" w:rsidRDefault="000F6B05">
            <w:pPr>
              <w:rPr>
                <w:sz w:val="20"/>
                <w:szCs w:val="20"/>
              </w:rPr>
            </w:pPr>
            <w:r w:rsidRPr="005615F3">
              <w:rPr>
                <w:sz w:val="20"/>
                <w:szCs w:val="20"/>
              </w:rPr>
              <w:t>4. Policies for classified professional development activities</w:t>
            </w:r>
          </w:p>
          <w:p w:rsidR="000F6B05" w:rsidRPr="005615F3" w:rsidRDefault="000F6B05">
            <w:pPr>
              <w:rPr>
                <w:sz w:val="20"/>
                <w:szCs w:val="20"/>
              </w:rPr>
            </w:pPr>
            <w:r w:rsidRPr="005615F3">
              <w:rPr>
                <w:sz w:val="20"/>
                <w:szCs w:val="20"/>
              </w:rPr>
              <w:t>5. Processes for program review</w:t>
            </w:r>
          </w:p>
          <w:p w:rsidR="000F6B05" w:rsidRPr="005615F3" w:rsidRDefault="000F6B05">
            <w:pPr>
              <w:rPr>
                <w:sz w:val="20"/>
                <w:szCs w:val="20"/>
              </w:rPr>
            </w:pPr>
            <w:r w:rsidRPr="005615F3">
              <w:rPr>
                <w:sz w:val="20"/>
                <w:szCs w:val="20"/>
              </w:rPr>
              <w:t>6. Processes for Institutional planning and budget development</w:t>
            </w:r>
          </w:p>
          <w:p w:rsidR="000F6B05" w:rsidRPr="005615F3" w:rsidRDefault="000F6B05">
            <w:pPr>
              <w:rPr>
                <w:sz w:val="20"/>
                <w:szCs w:val="20"/>
              </w:rPr>
            </w:pPr>
            <w:r w:rsidRPr="005615F3">
              <w:rPr>
                <w:sz w:val="20"/>
                <w:szCs w:val="20"/>
              </w:rPr>
              <w:t>7. Curriculum systems integrations and implementation</w:t>
            </w:r>
          </w:p>
          <w:p w:rsidR="000F6B05" w:rsidRPr="005615F3" w:rsidRDefault="000F6B05">
            <w:pPr>
              <w:rPr>
                <w:sz w:val="20"/>
                <w:szCs w:val="20"/>
              </w:rPr>
            </w:pPr>
            <w:r w:rsidRPr="005615F3">
              <w:rPr>
                <w:sz w:val="20"/>
                <w:szCs w:val="20"/>
              </w:rPr>
              <w:t>8. Degree and certificate requirements</w:t>
            </w:r>
          </w:p>
          <w:p w:rsidR="000F6B05" w:rsidRPr="005615F3" w:rsidRDefault="000F6B05" w:rsidP="000F6B05">
            <w:pPr>
              <w:rPr>
                <w:sz w:val="20"/>
                <w:szCs w:val="20"/>
              </w:rPr>
            </w:pPr>
            <w:r w:rsidRPr="005615F3">
              <w:rPr>
                <w:sz w:val="20"/>
                <w:szCs w:val="20"/>
              </w:rPr>
              <w:t>9. Educational program development</w:t>
            </w:r>
          </w:p>
          <w:p w:rsidR="000F6B05" w:rsidRPr="005615F3" w:rsidRDefault="000F6B05" w:rsidP="000F6B05">
            <w:pPr>
              <w:pStyle w:val="ListParagraph"/>
              <w:numPr>
                <w:ilvl w:val="0"/>
                <w:numId w:val="2"/>
              </w:numPr>
              <w:ind w:left="270" w:firstLine="90"/>
              <w:rPr>
                <w:sz w:val="20"/>
                <w:szCs w:val="20"/>
              </w:rPr>
            </w:pPr>
            <w:r w:rsidRPr="005615F3">
              <w:rPr>
                <w:sz w:val="20"/>
                <w:szCs w:val="20"/>
              </w:rPr>
              <w:t>Any other district and college policy, procedure, or related matters that will have a significant effect on Classified Staff</w:t>
            </w:r>
          </w:p>
        </w:tc>
      </w:tr>
    </w:tbl>
    <w:p w:rsidR="00D46B9C" w:rsidRPr="00CF6FBB" w:rsidRDefault="00D46B9C">
      <w:pPr>
        <w:rPr>
          <w:sz w:val="16"/>
          <w:szCs w:val="16"/>
        </w:rPr>
      </w:pPr>
    </w:p>
    <w:p w:rsidR="009C2DA3" w:rsidRDefault="00B17D40">
      <w:r>
        <w:tab/>
      </w:r>
      <w:r>
        <w:tab/>
      </w:r>
      <w:r>
        <w:tab/>
      </w:r>
      <w:r>
        <w:tab/>
      </w:r>
    </w:p>
    <w:sectPr w:rsidR="009C2DA3" w:rsidSect="000F6B05">
      <w:pgSz w:w="12240" w:h="15840"/>
      <w:pgMar w:top="270" w:right="14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45"/>
    <w:multiLevelType w:val="hybridMultilevel"/>
    <w:tmpl w:val="A7CE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AC653A"/>
    <w:multiLevelType w:val="hybridMultilevel"/>
    <w:tmpl w:val="E5EADF60"/>
    <w:lvl w:ilvl="0" w:tplc="82687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A736B3"/>
    <w:multiLevelType w:val="hybridMultilevel"/>
    <w:tmpl w:val="D9D8EEFA"/>
    <w:lvl w:ilvl="0" w:tplc="E3C81E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0075DE"/>
    <w:multiLevelType w:val="hybridMultilevel"/>
    <w:tmpl w:val="B1163A78"/>
    <w:lvl w:ilvl="0" w:tplc="679AE5A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6D24A1"/>
    <w:multiLevelType w:val="hybridMultilevel"/>
    <w:tmpl w:val="FA9E37AA"/>
    <w:lvl w:ilvl="0" w:tplc="AEA8D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3D1A8C"/>
    <w:multiLevelType w:val="hybridMultilevel"/>
    <w:tmpl w:val="64DE118A"/>
    <w:lvl w:ilvl="0" w:tplc="81ECE4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B3BE8"/>
    <w:multiLevelType w:val="hybridMultilevel"/>
    <w:tmpl w:val="A0B025BA"/>
    <w:lvl w:ilvl="0" w:tplc="83A82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B35522"/>
    <w:multiLevelType w:val="hybridMultilevel"/>
    <w:tmpl w:val="A726F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C7D1F"/>
    <w:multiLevelType w:val="hybridMultilevel"/>
    <w:tmpl w:val="C71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54498"/>
    <w:multiLevelType w:val="hybridMultilevel"/>
    <w:tmpl w:val="A0EACF48"/>
    <w:lvl w:ilvl="0" w:tplc="1EC49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3729FF"/>
    <w:multiLevelType w:val="hybridMultilevel"/>
    <w:tmpl w:val="34F03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95F15"/>
    <w:multiLevelType w:val="hybridMultilevel"/>
    <w:tmpl w:val="32F2F474"/>
    <w:lvl w:ilvl="0" w:tplc="5FD6F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A17D99"/>
    <w:multiLevelType w:val="hybridMultilevel"/>
    <w:tmpl w:val="DC6CC7CA"/>
    <w:lvl w:ilvl="0" w:tplc="F57AF1A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1F2BBC"/>
    <w:multiLevelType w:val="hybridMultilevel"/>
    <w:tmpl w:val="740C6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3"/>
  </w:num>
  <w:num w:numId="5">
    <w:abstractNumId w:val="5"/>
  </w:num>
  <w:num w:numId="6">
    <w:abstractNumId w:val="4"/>
  </w:num>
  <w:num w:numId="7">
    <w:abstractNumId w:val="12"/>
  </w:num>
  <w:num w:numId="8">
    <w:abstractNumId w:val="1"/>
  </w:num>
  <w:num w:numId="9">
    <w:abstractNumId w:val="3"/>
  </w:num>
  <w:num w:numId="10">
    <w:abstractNumId w:val="6"/>
  </w:num>
  <w:num w:numId="11">
    <w:abstractNumId w:val="9"/>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F2"/>
    <w:rsid w:val="00040578"/>
    <w:rsid w:val="000F33B5"/>
    <w:rsid w:val="000F6B05"/>
    <w:rsid w:val="001111A4"/>
    <w:rsid w:val="002E65AF"/>
    <w:rsid w:val="003B080F"/>
    <w:rsid w:val="00400063"/>
    <w:rsid w:val="00460ADE"/>
    <w:rsid w:val="0049421F"/>
    <w:rsid w:val="004F0B44"/>
    <w:rsid w:val="005615F3"/>
    <w:rsid w:val="005902B2"/>
    <w:rsid w:val="006402F3"/>
    <w:rsid w:val="006B1CF7"/>
    <w:rsid w:val="007C2941"/>
    <w:rsid w:val="007E5C2E"/>
    <w:rsid w:val="00814002"/>
    <w:rsid w:val="008410EC"/>
    <w:rsid w:val="00875A14"/>
    <w:rsid w:val="008800DD"/>
    <w:rsid w:val="0089211C"/>
    <w:rsid w:val="008A2A53"/>
    <w:rsid w:val="008B086C"/>
    <w:rsid w:val="00981A4F"/>
    <w:rsid w:val="009B37DE"/>
    <w:rsid w:val="009C2DA3"/>
    <w:rsid w:val="009E24F2"/>
    <w:rsid w:val="009F3343"/>
    <w:rsid w:val="00A87F58"/>
    <w:rsid w:val="00B17D40"/>
    <w:rsid w:val="00B33274"/>
    <w:rsid w:val="00B85712"/>
    <w:rsid w:val="00C40179"/>
    <w:rsid w:val="00CA6586"/>
    <w:rsid w:val="00CA6722"/>
    <w:rsid w:val="00CE745F"/>
    <w:rsid w:val="00CF6FBB"/>
    <w:rsid w:val="00D46B9C"/>
    <w:rsid w:val="00D82890"/>
    <w:rsid w:val="00DA47D4"/>
    <w:rsid w:val="00E120FA"/>
    <w:rsid w:val="00EC2EF4"/>
    <w:rsid w:val="00EC7AA1"/>
    <w:rsid w:val="00F8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2015-09-30T21:37:00Z</cp:lastPrinted>
  <dcterms:created xsi:type="dcterms:W3CDTF">2016-01-26T20:48:00Z</dcterms:created>
  <dcterms:modified xsi:type="dcterms:W3CDTF">2016-01-26T20:48:00Z</dcterms:modified>
</cp:coreProperties>
</file>