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3F3F2B">
        <w:rPr>
          <w:b/>
          <w:sz w:val="22"/>
          <w:szCs w:val="22"/>
          <w:u w:val="single"/>
        </w:rPr>
        <w:t>6</w:t>
      </w:r>
      <w:r w:rsidRPr="00EB76FA">
        <w:rPr>
          <w:b/>
          <w:sz w:val="22"/>
          <w:szCs w:val="22"/>
          <w:u w:val="single"/>
        </w:rPr>
        <w:t>-201</w:t>
      </w:r>
      <w:r w:rsidR="003F3F2B">
        <w:rPr>
          <w:b/>
          <w:sz w:val="22"/>
          <w:szCs w:val="22"/>
          <w:u w:val="single"/>
        </w:rPr>
        <w:t>7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2E0143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456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3F3F2B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017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5</w:t>
      </w:r>
      <w:r w:rsidR="00B057C1">
        <w:rPr>
          <w:b/>
          <w:sz w:val="22"/>
          <w:szCs w:val="22"/>
        </w:rPr>
        <w:t>:00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2E0143" w:rsidRDefault="00EB76FA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2E0143" w:rsidRPr="00D91B1F">
        <w:rPr>
          <w:sz w:val="22"/>
          <w:szCs w:val="22"/>
        </w:rPr>
        <w:t>ALO:  Kim Hoffmans; Faculty Co-Chair:  Eric Martinsen</w:t>
      </w:r>
    </w:p>
    <w:p w:rsidR="002E0143" w:rsidRPr="00D91B1F" w:rsidRDefault="002E0143" w:rsidP="002E0143">
      <w:pPr>
        <w:ind w:left="1440" w:hanging="1440"/>
        <w:rPr>
          <w:sz w:val="22"/>
          <w:szCs w:val="22"/>
        </w:rPr>
      </w:pPr>
    </w:p>
    <w:p w:rsidR="002E0143" w:rsidRDefault="002E0143" w:rsidP="002E0143">
      <w:pPr>
        <w:ind w:left="1440" w:hanging="1440"/>
        <w:rPr>
          <w:sz w:val="22"/>
          <w:szCs w:val="22"/>
        </w:rPr>
      </w:pPr>
      <w:r w:rsidRPr="00D91B1F">
        <w:rPr>
          <w:sz w:val="22"/>
          <w:szCs w:val="22"/>
        </w:rPr>
        <w:tab/>
      </w:r>
      <w:r w:rsidRPr="00034DED">
        <w:rPr>
          <w:sz w:val="22"/>
          <w:szCs w:val="22"/>
        </w:rPr>
        <w:t xml:space="preserve">Kammy Algiers, </w:t>
      </w:r>
      <w:r w:rsidRPr="00034DED">
        <w:rPr>
          <w:sz w:val="22"/>
          <w:szCs w:val="22"/>
          <w:lang w:val="fr-FR"/>
        </w:rPr>
        <w:t>Emily Bartel</w:t>
      </w:r>
      <w:r>
        <w:rPr>
          <w:sz w:val="22"/>
          <w:szCs w:val="22"/>
          <w:lang w:val="fr-FR"/>
        </w:rPr>
        <w:t>,</w:t>
      </w:r>
      <w:r w:rsidRPr="006B27EF">
        <w:rPr>
          <w:sz w:val="22"/>
          <w:szCs w:val="22"/>
        </w:rPr>
        <w:t xml:space="preserve"> Jack Bennett, Scott Brewer</w:t>
      </w:r>
      <w:r>
        <w:rPr>
          <w:sz w:val="22"/>
          <w:szCs w:val="22"/>
        </w:rPr>
        <w:t>,</w:t>
      </w:r>
      <w:r w:rsidRPr="00034DED">
        <w:rPr>
          <w:sz w:val="22"/>
          <w:szCs w:val="22"/>
        </w:rPr>
        <w:t xml:space="preserve"> Michael Bowen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Phillip Briggs,</w:t>
      </w:r>
      <w:r w:rsidRPr="006B27EF">
        <w:rPr>
          <w:sz w:val="22"/>
          <w:szCs w:val="22"/>
          <w:lang w:val="fr-FR"/>
        </w:rPr>
        <w:t xml:space="preserve"> </w:t>
      </w:r>
      <w:r w:rsidRPr="006B27EF">
        <w:rPr>
          <w:sz w:val="22"/>
          <w:szCs w:val="22"/>
        </w:rPr>
        <w:t xml:space="preserve">Michael Callahan, </w:t>
      </w:r>
      <w:r w:rsidRPr="00034DED">
        <w:rPr>
          <w:sz w:val="22"/>
          <w:szCs w:val="22"/>
          <w:lang w:val="fr-FR"/>
        </w:rPr>
        <w:t>Colleen Coffey</w:t>
      </w:r>
      <w:r>
        <w:rPr>
          <w:sz w:val="22"/>
          <w:szCs w:val="22"/>
          <w:lang w:val="fr-FR"/>
        </w:rPr>
        <w:t>,</w:t>
      </w:r>
      <w:r w:rsidRPr="006B27EF">
        <w:rPr>
          <w:sz w:val="22"/>
          <w:szCs w:val="22"/>
        </w:rPr>
        <w:t xml:space="preserve"> Eileen Crump</w:t>
      </w:r>
      <w:r>
        <w:rPr>
          <w:sz w:val="22"/>
          <w:szCs w:val="22"/>
        </w:rPr>
        <w:t>,</w:t>
      </w:r>
      <w:r w:rsidRPr="00034DED">
        <w:rPr>
          <w:sz w:val="22"/>
          <w:szCs w:val="22"/>
        </w:rPr>
        <w:t xml:space="preserve"> </w:t>
      </w:r>
      <w:r w:rsidRPr="006B27EF">
        <w:rPr>
          <w:sz w:val="22"/>
          <w:szCs w:val="22"/>
        </w:rPr>
        <w:t>Jeanine Day</w:t>
      </w:r>
      <w:r>
        <w:rPr>
          <w:sz w:val="22"/>
          <w:szCs w:val="22"/>
        </w:rPr>
        <w:t>,</w:t>
      </w:r>
      <w:r w:rsidRPr="00034DED">
        <w:rPr>
          <w:sz w:val="22"/>
          <w:szCs w:val="22"/>
        </w:rPr>
        <w:t xml:space="preserve"> Maureen Eliot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Karen Engelsen, Greg Gillespie (President), Tim Harrison, </w:t>
      </w:r>
      <w:r w:rsidRPr="00034DED">
        <w:rPr>
          <w:sz w:val="22"/>
          <w:szCs w:val="22"/>
        </w:rPr>
        <w:t>Bill Har</w:t>
      </w:r>
      <w:r w:rsidRPr="00D91B1F">
        <w:rPr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 w:rsidRPr="006B27EF">
        <w:rPr>
          <w:sz w:val="22"/>
          <w:szCs w:val="22"/>
        </w:rPr>
        <w:t>Grant Jones, David Keebler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Alex Kolesnik, </w:t>
      </w:r>
      <w:r w:rsidRPr="00034DED">
        <w:rPr>
          <w:sz w:val="22"/>
          <w:szCs w:val="22"/>
        </w:rPr>
        <w:t>Gwen Lewis-Huddleston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</w:t>
      </w:r>
      <w:r w:rsidR="00771FD6">
        <w:rPr>
          <w:sz w:val="22"/>
          <w:szCs w:val="22"/>
        </w:rPr>
        <w:t>Gabriela Navas</w:t>
      </w:r>
      <w:bookmarkStart w:id="0" w:name="_GoBack"/>
      <w:bookmarkEnd w:id="0"/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Debbie Newcomb, Peder Nielsen, </w:t>
      </w:r>
      <w:r>
        <w:rPr>
          <w:sz w:val="22"/>
          <w:szCs w:val="22"/>
        </w:rPr>
        <w:t>Steve Palladino,</w:t>
      </w:r>
      <w:r w:rsidRPr="00034DED">
        <w:rPr>
          <w:sz w:val="22"/>
          <w:szCs w:val="22"/>
        </w:rPr>
        <w:t xml:space="preserve"> Mark Pauley (Budget and Resource Coun</w:t>
      </w:r>
      <w:r>
        <w:rPr>
          <w:sz w:val="22"/>
          <w:szCs w:val="22"/>
        </w:rPr>
        <w:t xml:space="preserve">cil Co-Chair), </w:t>
      </w:r>
      <w:r w:rsidRPr="006B27EF">
        <w:rPr>
          <w:sz w:val="22"/>
          <w:szCs w:val="22"/>
        </w:rPr>
        <w:t>Arlene Reed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Peter Sezzi, Lisa Smith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Rick Trevino</w:t>
      </w:r>
      <w:r>
        <w:rPr>
          <w:sz w:val="22"/>
          <w:szCs w:val="22"/>
        </w:rPr>
        <w:t>,</w:t>
      </w:r>
      <w:r w:rsidRPr="006B27EF">
        <w:rPr>
          <w:sz w:val="22"/>
          <w:szCs w:val="22"/>
        </w:rPr>
        <w:t xml:space="preserve"> Lynn Wright,</w:t>
      </w:r>
      <w:r>
        <w:rPr>
          <w:sz w:val="22"/>
          <w:szCs w:val="22"/>
        </w:rPr>
        <w:t xml:space="preserve"> </w:t>
      </w:r>
      <w:r w:rsidRPr="006B27EF">
        <w:rPr>
          <w:sz w:val="22"/>
          <w:szCs w:val="22"/>
        </w:rPr>
        <w:t>and Pamela Yeagley.</w:t>
      </w:r>
      <w:r>
        <w:rPr>
          <w:sz w:val="22"/>
          <w:szCs w:val="22"/>
        </w:rPr>
        <w:t xml:space="preserve"> </w:t>
      </w:r>
    </w:p>
    <w:p w:rsidR="002E0143" w:rsidRDefault="002E0143" w:rsidP="002E0143">
      <w:pPr>
        <w:ind w:left="1440" w:hanging="1440"/>
        <w:rPr>
          <w:sz w:val="22"/>
          <w:szCs w:val="22"/>
        </w:rPr>
      </w:pPr>
    </w:p>
    <w:p w:rsidR="009249E5" w:rsidRPr="00034DED" w:rsidRDefault="009249E5" w:rsidP="002E0143">
      <w:pPr>
        <w:ind w:left="1440" w:hanging="1440"/>
        <w:rPr>
          <w:sz w:val="22"/>
          <w:szCs w:val="22"/>
        </w:rPr>
      </w:pPr>
      <w:r w:rsidRPr="00034DED">
        <w:rPr>
          <w:b/>
          <w:sz w:val="22"/>
          <w:szCs w:val="22"/>
        </w:rPr>
        <w:t>Guests:</w:t>
      </w:r>
      <w:r w:rsidRPr="00034DED">
        <w:rPr>
          <w:b/>
          <w:sz w:val="22"/>
          <w:szCs w:val="22"/>
        </w:rPr>
        <w:tab/>
      </w:r>
      <w:r w:rsidR="00D91B1F">
        <w:rPr>
          <w:sz w:val="22"/>
          <w:szCs w:val="22"/>
        </w:rPr>
        <w:t>none</w:t>
      </w:r>
    </w:p>
    <w:p w:rsidR="002E0143" w:rsidRDefault="002E0143" w:rsidP="00BC3B38">
      <w:pPr>
        <w:rPr>
          <w:b/>
          <w:sz w:val="22"/>
          <w:szCs w:val="22"/>
          <w:lang w:val="fr-FR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2E0143" w:rsidRDefault="002E0143" w:rsidP="00BD508E">
      <w:pPr>
        <w:rPr>
          <w:b/>
          <w:sz w:val="22"/>
          <w:szCs w:val="22"/>
          <w:u w:val="single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1"/>
      <w:bookmarkEnd w:id="2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BF6394" w:rsidP="00BF6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567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Hoffmans</w:t>
            </w:r>
            <w:r w:rsidR="008F7E70">
              <w:rPr>
                <w:sz w:val="22"/>
                <w:szCs w:val="22"/>
              </w:rPr>
              <w:t xml:space="preserve"> </w:t>
            </w:r>
            <w:r w:rsidR="00E91916">
              <w:rPr>
                <w:sz w:val="22"/>
                <w:szCs w:val="22"/>
              </w:rPr>
              <w:t>called the meeting to order</w:t>
            </w:r>
            <w:r w:rsidR="002915F2" w:rsidRPr="00C9064E">
              <w:rPr>
                <w:sz w:val="22"/>
                <w:szCs w:val="22"/>
              </w:rPr>
              <w:t xml:space="preserve"> at</w:t>
            </w:r>
            <w:r w:rsidR="008E752E" w:rsidRPr="00C9064E">
              <w:rPr>
                <w:sz w:val="22"/>
                <w:szCs w:val="22"/>
              </w:rPr>
              <w:t xml:space="preserve"> </w:t>
            </w:r>
            <w:r w:rsidRPr="00BF6394">
              <w:rPr>
                <w:sz w:val="22"/>
                <w:szCs w:val="22"/>
              </w:rPr>
              <w:t>3:33</w:t>
            </w:r>
            <w:r w:rsidR="003A615B" w:rsidRPr="00BF6394">
              <w:rPr>
                <w:sz w:val="22"/>
                <w:szCs w:val="22"/>
              </w:rPr>
              <w:t xml:space="preserve"> </w:t>
            </w:r>
            <w:r w:rsidR="00D57496" w:rsidRPr="00BF6394">
              <w:rPr>
                <w:sz w:val="22"/>
                <w:szCs w:val="22"/>
              </w:rPr>
              <w:t>p</w:t>
            </w:r>
            <w:r w:rsidR="00E91916" w:rsidRPr="00BF6394">
              <w:rPr>
                <w:sz w:val="22"/>
                <w:szCs w:val="22"/>
              </w:rPr>
              <w:t>.</w:t>
            </w:r>
            <w:r w:rsidR="00D57496" w:rsidRPr="00BF6394">
              <w:rPr>
                <w:sz w:val="22"/>
                <w:szCs w:val="22"/>
              </w:rPr>
              <w:t>m.</w:t>
            </w:r>
            <w:r w:rsidR="00D574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</w:p>
        </w:tc>
        <w:tc>
          <w:tcPr>
            <w:tcW w:w="6040" w:type="dxa"/>
            <w:shd w:val="clear" w:color="auto" w:fill="auto"/>
          </w:tcPr>
          <w:p w:rsidR="00987CF9" w:rsidRPr="00987CF9" w:rsidRDefault="00987CF9" w:rsidP="000F2E2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4D64CA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D55EF8">
              <w:rPr>
                <w:b/>
                <w:sz w:val="22"/>
                <w:szCs w:val="22"/>
              </w:rPr>
              <w:t>Minutes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2E0143">
              <w:rPr>
                <w:b/>
                <w:sz w:val="22"/>
                <w:szCs w:val="22"/>
              </w:rPr>
              <w:t>Mar 1</w:t>
            </w:r>
            <w:r>
              <w:rPr>
                <w:b/>
                <w:sz w:val="22"/>
                <w:szCs w:val="22"/>
              </w:rPr>
              <w:t>, 201</w:t>
            </w:r>
            <w:r w:rsidR="002E01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D91B1F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Hoffmans</w:t>
            </w:r>
            <w:r w:rsidR="00987CF9">
              <w:rPr>
                <w:sz w:val="22"/>
                <w:szCs w:val="22"/>
              </w:rPr>
              <w:t xml:space="preserve"> asked for any corrections and/or amendments to the minutes as presented.  There were none.  </w:t>
            </w:r>
            <w:r w:rsidR="00987CF9" w:rsidRPr="00987CF9">
              <w:rPr>
                <w:sz w:val="22"/>
                <w:szCs w:val="22"/>
              </w:rPr>
              <w:t>Minutes were approved via consensus.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0143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E0143" w:rsidRDefault="002E0143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Announcements/</w:t>
            </w:r>
          </w:p>
          <w:p w:rsidR="002E0143" w:rsidRPr="002E0143" w:rsidRDefault="002E0143" w:rsidP="002E0143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2E0143" w:rsidRDefault="00A474B2" w:rsidP="00414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regarding </w:t>
            </w:r>
            <w:r w:rsidR="004D64CA">
              <w:rPr>
                <w:sz w:val="22"/>
                <w:szCs w:val="22"/>
              </w:rPr>
              <w:t xml:space="preserve">accreditation by </w:t>
            </w:r>
            <w:r>
              <w:rPr>
                <w:sz w:val="22"/>
                <w:szCs w:val="22"/>
              </w:rPr>
              <w:t xml:space="preserve">ACCJC vs WASC ensued. </w:t>
            </w:r>
          </w:p>
          <w:p w:rsidR="00A474B2" w:rsidRDefault="00A474B2" w:rsidP="004144AA">
            <w:pPr>
              <w:rPr>
                <w:sz w:val="22"/>
                <w:szCs w:val="22"/>
              </w:rPr>
            </w:pPr>
          </w:p>
          <w:p w:rsidR="00A474B2" w:rsidRDefault="00A474B2" w:rsidP="00414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Sezzi – when </w:t>
            </w:r>
            <w:r w:rsidR="004D64CA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the 18 month</w:t>
            </w:r>
            <w:r w:rsidR="004D64CA">
              <w:rPr>
                <w:sz w:val="22"/>
                <w:szCs w:val="22"/>
              </w:rPr>
              <w:t xml:space="preserve"> follow-up scheduled for</w:t>
            </w:r>
            <w:r>
              <w:rPr>
                <w:sz w:val="22"/>
                <w:szCs w:val="22"/>
              </w:rPr>
              <w:t>?</w:t>
            </w:r>
          </w:p>
          <w:p w:rsidR="00A474B2" w:rsidRDefault="00A474B2" w:rsidP="00A474B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– Spring 2018</w:t>
            </w:r>
          </w:p>
        </w:tc>
        <w:tc>
          <w:tcPr>
            <w:tcW w:w="1400" w:type="dxa"/>
            <w:shd w:val="clear" w:color="auto" w:fill="auto"/>
          </w:tcPr>
          <w:p w:rsidR="002E0143" w:rsidRPr="00C9064E" w:rsidRDefault="002E0143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116B31" w:rsidRPr="00C50BBF" w:rsidRDefault="00116B31" w:rsidP="007C3476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  <w:p w:rsidR="00C50BBF" w:rsidRPr="00C50BBF" w:rsidRDefault="002E0143" w:rsidP="00CE458B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Accreditation Reaffirmation Letter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D91B1F" w:rsidRDefault="00D91B1F" w:rsidP="00D91B1F">
            <w:pPr>
              <w:ind w:left="37"/>
              <w:rPr>
                <w:sz w:val="22"/>
                <w:szCs w:val="22"/>
              </w:rPr>
            </w:pPr>
          </w:p>
          <w:p w:rsidR="00CE458B" w:rsidRDefault="00CB313D" w:rsidP="00A474B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</w:t>
            </w:r>
            <w:r w:rsidR="00A474B2">
              <w:rPr>
                <w:sz w:val="22"/>
                <w:szCs w:val="22"/>
              </w:rPr>
              <w:t>Recommendation</w:t>
            </w:r>
            <w:r>
              <w:rPr>
                <w:sz w:val="22"/>
                <w:szCs w:val="22"/>
              </w:rPr>
              <w:t xml:space="preserve"> will be key to 18 month follow up report</w:t>
            </w:r>
          </w:p>
          <w:p w:rsidR="00CB313D" w:rsidRDefault="00CB313D" w:rsidP="00A474B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VC point of view, how did we get the word out and how will we implement here?</w:t>
            </w:r>
          </w:p>
          <w:p w:rsidR="00CB313D" w:rsidRDefault="00CB313D" w:rsidP="00A474B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Eric – this will be complicated since evaluation process is negotiated with the union</w:t>
            </w:r>
          </w:p>
          <w:p w:rsidR="00CB313D" w:rsidRDefault="00CB313D" w:rsidP="00A474B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– How is the administrator to be evaluated with regards to SLOs? Kim - Administrator can be judged on support of these initiatives etc. They are ensuring that we are institutionalizing this assessment. </w:t>
            </w:r>
          </w:p>
          <w:p w:rsidR="004F45B1" w:rsidRDefault="004F45B1" w:rsidP="00A474B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Wall – Faculty passes along SLO info to Chair who puts it all together, so how do we know who is participating.</w:t>
            </w:r>
          </w:p>
          <w:p w:rsidR="004F45B1" w:rsidRDefault="004F45B1" w:rsidP="004F45B1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– self reporting via self-evaluation</w:t>
            </w:r>
            <w:r w:rsidR="003E4CEC">
              <w:rPr>
                <w:sz w:val="22"/>
                <w:szCs w:val="22"/>
              </w:rPr>
              <w:t xml:space="preserve"> form</w:t>
            </w:r>
          </w:p>
          <w:p w:rsidR="004F45B1" w:rsidRDefault="004F45B1" w:rsidP="004F45B1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Techs across campus may not be directly responsible for student learning, but they are nonetheless instrumental – having them understand how they impact student learning, framing the issue, would be the first step</w:t>
            </w:r>
          </w:p>
          <w:p w:rsidR="004F45B1" w:rsidRDefault="004F45B1" w:rsidP="004F45B1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– we should let district take the lead on this</w:t>
            </w:r>
          </w:p>
          <w:p w:rsidR="004F45B1" w:rsidRDefault="004F45B1" w:rsidP="004F45B1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– or we send them our ideas and watch them embrace</w:t>
            </w:r>
          </w:p>
          <w:p w:rsidR="004F45B1" w:rsidRDefault="004F45B1" w:rsidP="004F45B1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 eval form needs to be negotiated too</w:t>
            </w:r>
          </w:p>
          <w:p w:rsidR="003E4CEC" w:rsidRPr="00A474B2" w:rsidRDefault="003E4CEC" w:rsidP="003E4CEC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– we could brainstorm and make recommendations to the district</w:t>
            </w:r>
          </w:p>
          <w:p w:rsidR="00CE458B" w:rsidRDefault="00CE458B" w:rsidP="00D91B1F">
            <w:pPr>
              <w:rPr>
                <w:sz w:val="22"/>
                <w:szCs w:val="22"/>
              </w:rPr>
            </w:pPr>
          </w:p>
          <w:p w:rsidR="00CB313D" w:rsidRDefault="00CB313D" w:rsidP="00D91B1F">
            <w:pPr>
              <w:rPr>
                <w:sz w:val="22"/>
                <w:szCs w:val="22"/>
              </w:rPr>
            </w:pPr>
          </w:p>
          <w:p w:rsidR="00CB313D" w:rsidRPr="00C50BBF" w:rsidRDefault="00CB313D" w:rsidP="00D91B1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FE07B5" w:rsidP="00D91B1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2E0143" w:rsidP="00CE458B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Review of changes for Committee charge and purpose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E345F3" w:rsidRPr="00BF6394" w:rsidRDefault="00BF6394" w:rsidP="00BF639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was reviewed and revised</w:t>
            </w:r>
          </w:p>
        </w:tc>
        <w:tc>
          <w:tcPr>
            <w:tcW w:w="140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Default="004144AA" w:rsidP="0015446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Goals and accomplishments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15446F" w:rsidRDefault="004D64CA" w:rsidP="00534143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addressed</w:t>
            </w:r>
          </w:p>
        </w:tc>
        <w:tc>
          <w:tcPr>
            <w:tcW w:w="1400" w:type="dxa"/>
            <w:shd w:val="clear" w:color="auto" w:fill="auto"/>
          </w:tcPr>
          <w:p w:rsidR="0015446F" w:rsidRPr="00DD00E7" w:rsidRDefault="0015446F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Default="002E0143" w:rsidP="0015446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Steps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15446F" w:rsidRDefault="003E4CEC" w:rsidP="003E4CE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 how to incorporate compliance issue</w:t>
            </w:r>
          </w:p>
          <w:p w:rsidR="003E4CEC" w:rsidRPr="003E4CEC" w:rsidRDefault="00771FD6" w:rsidP="003E4CEC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 term Report – Quality focus essay questions</w:t>
            </w:r>
          </w:p>
        </w:tc>
        <w:tc>
          <w:tcPr>
            <w:tcW w:w="1400" w:type="dxa"/>
            <w:shd w:val="clear" w:color="auto" w:fill="auto"/>
          </w:tcPr>
          <w:p w:rsidR="0015446F" w:rsidRPr="00DD00E7" w:rsidRDefault="0015446F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6F0464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6F0464" w:rsidRDefault="004144AA" w:rsidP="004B436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Meeting Takeaways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F0464" w:rsidRDefault="005F7503" w:rsidP="00534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00" w:type="dxa"/>
            <w:shd w:val="clear" w:color="auto" w:fill="auto"/>
          </w:tcPr>
          <w:p w:rsidR="006F0464" w:rsidRPr="00DD00E7" w:rsidRDefault="006F0464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6F0464" w:rsidRPr="00CD268F" w:rsidRDefault="006F0464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6F0464" w:rsidRPr="00CD268F" w:rsidRDefault="006F0464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Pr="00196536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633696" w:rsidRDefault="00CD268F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8A473D" w:rsidRDefault="00CD268F" w:rsidP="00CD268F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5F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 w:rsidR="002E0143">
              <w:rPr>
                <w:sz w:val="22"/>
                <w:szCs w:val="22"/>
              </w:rPr>
              <w:t>??</w:t>
            </w:r>
            <w:r w:rsidR="00CD268F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4144AA" w:rsidP="005F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</w:t>
            </w:r>
            <w:r w:rsidR="00534143">
              <w:rPr>
                <w:sz w:val="22"/>
                <w:szCs w:val="22"/>
              </w:rPr>
              <w:t xml:space="preserve">, 2016 </w:t>
            </w:r>
            <w:r w:rsidR="005F7503">
              <w:rPr>
                <w:sz w:val="22"/>
                <w:szCs w:val="22"/>
              </w:rPr>
              <w:t>@</w:t>
            </w:r>
            <w:r w:rsidR="00CD268F" w:rsidRPr="00C9064E">
              <w:rPr>
                <w:sz w:val="22"/>
                <w:szCs w:val="22"/>
              </w:rPr>
              <w:t xml:space="preserve"> </w:t>
            </w:r>
            <w:r w:rsidR="00CD268F">
              <w:rPr>
                <w:sz w:val="22"/>
                <w:szCs w:val="22"/>
              </w:rPr>
              <w:t>3:30</w:t>
            </w:r>
            <w:r w:rsidR="00CD268F" w:rsidRPr="00C9064E">
              <w:rPr>
                <w:sz w:val="22"/>
                <w:szCs w:val="22"/>
              </w:rPr>
              <w:t xml:space="preserve"> pm, </w:t>
            </w:r>
            <w:r w:rsidR="00CD268F">
              <w:rPr>
                <w:sz w:val="22"/>
                <w:szCs w:val="22"/>
              </w:rPr>
              <w:t>MCW-312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default" r:id="rId9"/>
      <w:footerReference w:type="default" r:id="rId10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9E" w:rsidRDefault="00C7379E" w:rsidP="0005098A">
      <w:r>
        <w:separator/>
      </w:r>
    </w:p>
  </w:endnote>
  <w:endnote w:type="continuationSeparator" w:id="0">
    <w:p w:rsidR="00C7379E" w:rsidRDefault="00C7379E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2E0143">
      <w:t>March</w:t>
    </w:r>
    <w:r w:rsidR="004144AA">
      <w:t xml:space="preserve"> </w:t>
    </w:r>
    <w:r w:rsidR="002E0143">
      <w:t>1, 2017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763AB4">
      <w:rPr>
        <w:noProof/>
      </w:rPr>
      <w:t>1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9E" w:rsidRDefault="00C7379E" w:rsidP="0005098A">
      <w:r>
        <w:separator/>
      </w:r>
    </w:p>
  </w:footnote>
  <w:footnote w:type="continuationSeparator" w:id="0">
    <w:p w:rsidR="00C7379E" w:rsidRDefault="00C7379E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31960"/>
      <w:docPartObj>
        <w:docPartGallery w:val="Watermarks"/>
        <w:docPartUnique/>
      </w:docPartObj>
    </w:sdtPr>
    <w:sdtEndPr/>
    <w:sdtContent>
      <w:p w:rsidR="002759C7" w:rsidRDefault="00763AB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19397" o:spid="_x0000_s2056" type="#_x0000_t136" style="position:absolute;margin-left:0;margin-top:0;width:499.65pt;height:299.75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01F"/>
    <w:multiLevelType w:val="hybridMultilevel"/>
    <w:tmpl w:val="878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97EDA"/>
    <w:multiLevelType w:val="hybridMultilevel"/>
    <w:tmpl w:val="ACF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BFE"/>
    <w:multiLevelType w:val="hybridMultilevel"/>
    <w:tmpl w:val="2B48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1908"/>
    <w:multiLevelType w:val="hybridMultilevel"/>
    <w:tmpl w:val="65E44AC0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19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4"/>
  </w:num>
  <w:num w:numId="15">
    <w:abstractNumId w:val="16"/>
  </w:num>
  <w:num w:numId="16">
    <w:abstractNumId w:val="3"/>
  </w:num>
  <w:num w:numId="17">
    <w:abstractNumId w:val="7"/>
  </w:num>
  <w:num w:numId="18">
    <w:abstractNumId w:val="10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B48F6"/>
    <w:rsid w:val="000B4CBF"/>
    <w:rsid w:val="000C13F4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1B8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8FD"/>
    <w:rsid w:val="00230B02"/>
    <w:rsid w:val="00230C7E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0143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CEC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44AA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64CA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45B1"/>
    <w:rsid w:val="004F51BE"/>
    <w:rsid w:val="004F5522"/>
    <w:rsid w:val="004F5D7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5A0D"/>
    <w:rsid w:val="005E0884"/>
    <w:rsid w:val="005E0BBD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69D1"/>
    <w:rsid w:val="00616D18"/>
    <w:rsid w:val="006179AA"/>
    <w:rsid w:val="00617B7B"/>
    <w:rsid w:val="00620C37"/>
    <w:rsid w:val="006210D9"/>
    <w:rsid w:val="006217A7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2F4D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3AB4"/>
    <w:rsid w:val="007660CD"/>
    <w:rsid w:val="00771FD6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80B"/>
    <w:rsid w:val="00993A7A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2150"/>
    <w:rsid w:val="00A339FF"/>
    <w:rsid w:val="00A341B0"/>
    <w:rsid w:val="00A37ACD"/>
    <w:rsid w:val="00A422FC"/>
    <w:rsid w:val="00A424E2"/>
    <w:rsid w:val="00A43432"/>
    <w:rsid w:val="00A43A34"/>
    <w:rsid w:val="00A474B2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7EA1"/>
    <w:rsid w:val="00AF7FA3"/>
    <w:rsid w:val="00B00D7A"/>
    <w:rsid w:val="00B025E8"/>
    <w:rsid w:val="00B057C1"/>
    <w:rsid w:val="00B1230B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EA0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BF6394"/>
    <w:rsid w:val="00C00064"/>
    <w:rsid w:val="00C001F5"/>
    <w:rsid w:val="00C03738"/>
    <w:rsid w:val="00C045B1"/>
    <w:rsid w:val="00C11DC9"/>
    <w:rsid w:val="00C142B2"/>
    <w:rsid w:val="00C142D6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379E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313D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979"/>
    <w:rsid w:val="00DE1A33"/>
    <w:rsid w:val="00DE2D1F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A6B6EAB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DC0-BC5F-43C6-9121-F2D077E5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6380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2</cp:revision>
  <cp:lastPrinted>2016-10-05T21:53:00Z</cp:lastPrinted>
  <dcterms:created xsi:type="dcterms:W3CDTF">2017-03-02T01:16:00Z</dcterms:created>
  <dcterms:modified xsi:type="dcterms:W3CDTF">2017-03-02T01:16:00Z</dcterms:modified>
</cp:coreProperties>
</file>