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B8" w:rsidRPr="00B92DF8" w:rsidRDefault="002F2061" w:rsidP="00B92DF8">
      <w:pPr>
        <w:pStyle w:val="Title"/>
        <w:pBdr>
          <w:bottom w:val="single" w:sz="8" w:space="13" w:color="4F81BD" w:themeColor="accent1"/>
        </w:pBdr>
        <w:jc w:val="center"/>
        <w:rPr>
          <w:sz w:val="16"/>
          <w:szCs w:val="16"/>
        </w:rPr>
      </w:pPr>
      <w:r>
        <w:rPr>
          <w:noProof/>
        </w:rPr>
        <w:drawing>
          <wp:inline distT="0" distB="0" distL="0" distR="0">
            <wp:extent cx="3816927" cy="651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Ventura College.png"/>
                    <pic:cNvPicPr/>
                  </pic:nvPicPr>
                  <pic:blipFill>
                    <a:blip r:embed="rId5">
                      <a:extLst>
                        <a:ext uri="{28A0092B-C50C-407E-A947-70E740481C1C}">
                          <a14:useLocalDpi xmlns:a14="http://schemas.microsoft.com/office/drawing/2010/main" val="0"/>
                        </a:ext>
                      </a:extLst>
                    </a:blip>
                    <a:stretch>
                      <a:fillRect/>
                    </a:stretch>
                  </pic:blipFill>
                  <pic:spPr>
                    <a:xfrm>
                      <a:off x="0" y="0"/>
                      <a:ext cx="3856781" cy="658249"/>
                    </a:xfrm>
                    <a:prstGeom prst="rect">
                      <a:avLst/>
                    </a:prstGeom>
                  </pic:spPr>
                </pic:pic>
              </a:graphicData>
            </a:graphic>
          </wp:inline>
        </w:drawing>
      </w:r>
    </w:p>
    <w:p w:rsidR="00BD1EF1" w:rsidRPr="00BD1EF1" w:rsidRDefault="00B60F53" w:rsidP="00B92DF8">
      <w:pPr>
        <w:pStyle w:val="Title"/>
        <w:pBdr>
          <w:bottom w:val="single" w:sz="8" w:space="13" w:color="4F81BD" w:themeColor="accent1"/>
        </w:pBdr>
        <w:jc w:val="center"/>
        <w:rPr>
          <w:rFonts w:ascii="Tahoma" w:hAnsi="Tahoma" w:cs="Tahoma"/>
          <w:b/>
          <w:i/>
          <w:color w:val="auto"/>
          <w:sz w:val="28"/>
          <w:szCs w:val="28"/>
        </w:rPr>
      </w:pPr>
      <w:r>
        <w:rPr>
          <w:rFonts w:ascii="Tahoma" w:hAnsi="Tahoma" w:cs="Tahoma"/>
          <w:b/>
          <w:i/>
          <w:color w:val="auto"/>
          <w:sz w:val="28"/>
          <w:szCs w:val="28"/>
        </w:rPr>
        <w:t>Accreditation Steering Advisory Group</w:t>
      </w:r>
      <w:r w:rsidR="00B92DF8">
        <w:rPr>
          <w:rFonts w:ascii="Tahoma" w:hAnsi="Tahoma" w:cs="Tahoma"/>
          <w:b/>
          <w:i/>
          <w:color w:val="auto"/>
          <w:sz w:val="28"/>
          <w:szCs w:val="28"/>
        </w:rPr>
        <w:t xml:space="preserve"> (ASAG)</w:t>
      </w:r>
    </w:p>
    <w:p w:rsidR="0039174F" w:rsidRPr="0039174F" w:rsidRDefault="00B60F53" w:rsidP="0039174F">
      <w:pPr>
        <w:pStyle w:val="Default"/>
        <w:rPr>
          <w:rFonts w:ascii="Times New Roman" w:hAnsi="Times New Roman" w:cs="Times New Roman"/>
          <w:color w:val="auto"/>
          <w:sz w:val="22"/>
          <w:szCs w:val="22"/>
        </w:rPr>
      </w:pPr>
      <w:r w:rsidRPr="00B60F53">
        <w:rPr>
          <w:rFonts w:ascii="Times New Roman" w:hAnsi="Times New Roman" w:cs="Times New Roman"/>
          <w:b/>
          <w:bCs/>
          <w:sz w:val="22"/>
          <w:szCs w:val="22"/>
        </w:rPr>
        <w:t>Charge</w:t>
      </w:r>
      <w:r w:rsidRPr="00B60F53">
        <w:rPr>
          <w:rFonts w:ascii="Times New Roman" w:hAnsi="Times New Roman" w:cs="Times New Roman"/>
          <w:sz w:val="22"/>
          <w:szCs w:val="22"/>
        </w:rPr>
        <w:t xml:space="preserve">: </w:t>
      </w:r>
      <w:r w:rsidR="0039174F" w:rsidRPr="0039174F">
        <w:rPr>
          <w:rFonts w:ascii="Times New Roman" w:hAnsi="Times New Roman" w:cs="Times New Roman"/>
          <w:color w:val="auto"/>
          <w:sz w:val="22"/>
          <w:szCs w:val="22"/>
        </w:rPr>
        <w:t>The Accreditation Steering Advisory Group (ASAG) monitors college compliance with regional accreditation standards in order to sustain continuous quality improvement. ASAG coordinates ongoing efforts to organize evidence used to prepare the Institutional Self Evaluation Report, follow-up reports, and mid-term reports. Recommendations from the ASAG are referred to the College Planning Committee. </w:t>
      </w:r>
    </w:p>
    <w:p w:rsidR="00B60F53" w:rsidRPr="0039174F" w:rsidRDefault="00B60F53" w:rsidP="00B60F53">
      <w:pPr>
        <w:pStyle w:val="Default"/>
        <w:rPr>
          <w:rFonts w:ascii="Times New Roman" w:hAnsi="Times New Roman" w:cs="Times New Roman"/>
          <w:color w:val="auto"/>
          <w:sz w:val="22"/>
          <w:szCs w:val="22"/>
        </w:rPr>
      </w:pPr>
    </w:p>
    <w:p w:rsidR="006654F4" w:rsidRPr="00B60F53" w:rsidRDefault="006654F4" w:rsidP="006654F4">
      <w:pPr>
        <w:pStyle w:val="ListParagraph"/>
        <w:tabs>
          <w:tab w:val="right" w:pos="720"/>
          <w:tab w:val="left" w:pos="1080"/>
        </w:tabs>
        <w:spacing w:after="0" w:line="240" w:lineRule="auto"/>
        <w:ind w:left="0"/>
        <w:jc w:val="both"/>
        <w:rPr>
          <w:rFonts w:ascii="Times New Roman" w:hAnsi="Times New Roman"/>
        </w:rPr>
      </w:pPr>
      <w:r w:rsidRPr="00B60F53">
        <w:rPr>
          <w:rFonts w:ascii="Times New Roman" w:hAnsi="Times New Roman"/>
          <w:b/>
          <w:bCs/>
        </w:rPr>
        <w:t>Membership</w:t>
      </w:r>
      <w:r w:rsidRPr="00B60F53">
        <w:rPr>
          <w:rFonts w:ascii="Times New Roman" w:hAnsi="Times New Roman"/>
        </w:rPr>
        <w:t xml:space="preserve">: </w:t>
      </w:r>
      <w:r w:rsidRPr="00FF3D29">
        <w:rPr>
          <w:rFonts w:ascii="Times New Roman" w:hAnsi="Times New Roman"/>
        </w:rPr>
        <w:t>Vice President of Academic Affairs (Accreditation Liaison Officer and Chair), Vice President of Student Affairs, Vice President of Business Services, Dean of Institutional Equity and Effectiveness, Academic Senate Executive Committee members, ASAG Faculty Co-Chair, Basic Skills Advisory Group Co-Chairs, Budget Resource Council Co-Chairs, Classified Senate Executive Board members, College Planning Council Co-Chairs, Curriculum Committee Co-Chairs, Deans of Student Learning, Facilities Oversight Group Co-Chairs, Institutional Researcher, Librarian, SLO Advisory Group Co-Chairs, Student Success Committee Co-Chairs, Professional Development Advisory Group Co-Chairs, Technology Advisory Group Co-Chairs, Distance Education Advisory Group Co-Chairs, Equity Advisory Group Co-Chairs, SSSP Advisory Group Co-Chairs, CE Advisory Group Co-Chairs, ASVC Representative</w:t>
      </w:r>
    </w:p>
    <w:p w:rsidR="006654F4" w:rsidRPr="00B60F53" w:rsidRDefault="006654F4" w:rsidP="006654F4">
      <w:pPr>
        <w:pStyle w:val="ListParagraph"/>
        <w:tabs>
          <w:tab w:val="right" w:pos="720"/>
          <w:tab w:val="left" w:pos="1080"/>
        </w:tabs>
        <w:spacing w:after="0" w:line="240" w:lineRule="auto"/>
        <w:ind w:left="0"/>
        <w:jc w:val="both"/>
        <w:rPr>
          <w:rFonts w:ascii="Arial" w:hAnsi="Arial" w:cs="Arial"/>
        </w:rPr>
      </w:pPr>
    </w:p>
    <w:p w:rsidR="006654F4" w:rsidRDefault="006654F4" w:rsidP="006654F4">
      <w:pPr>
        <w:rPr>
          <w:sz w:val="22"/>
          <w:szCs w:val="22"/>
        </w:rPr>
      </w:pPr>
      <w:r w:rsidRPr="00B60F53">
        <w:rPr>
          <w:b/>
          <w:sz w:val="22"/>
          <w:szCs w:val="22"/>
        </w:rPr>
        <w:t>Chair</w:t>
      </w:r>
      <w:r w:rsidRPr="00B60F53">
        <w:rPr>
          <w:sz w:val="22"/>
          <w:szCs w:val="22"/>
        </w:rPr>
        <w:t xml:space="preserve">: </w:t>
      </w:r>
      <w:r w:rsidRPr="00B60F53">
        <w:rPr>
          <w:sz w:val="22"/>
          <w:szCs w:val="22"/>
        </w:rPr>
        <w:tab/>
        <w:t xml:space="preserve">Vice President of </w:t>
      </w:r>
      <w:r>
        <w:rPr>
          <w:sz w:val="22"/>
          <w:szCs w:val="22"/>
        </w:rPr>
        <w:t>Academic Affairs</w:t>
      </w:r>
      <w:r w:rsidRPr="00B60F53">
        <w:rPr>
          <w:sz w:val="22"/>
          <w:szCs w:val="22"/>
        </w:rPr>
        <w:t xml:space="preserve"> and Faculty Co-Chair (selected by the Council)</w:t>
      </w:r>
    </w:p>
    <w:p w:rsidR="006654F4" w:rsidRPr="00B60F53" w:rsidRDefault="006654F4" w:rsidP="006654F4">
      <w:pPr>
        <w:rPr>
          <w:sz w:val="22"/>
          <w:szCs w:val="22"/>
        </w:rPr>
      </w:pPr>
    </w:p>
    <w:p w:rsidR="005418B8" w:rsidRPr="00A8581F" w:rsidRDefault="00A8581F" w:rsidP="000A32B3">
      <w:pPr>
        <w:jc w:val="center"/>
        <w:rPr>
          <w:b/>
          <w:bCs/>
          <w:sz w:val="22"/>
          <w:szCs w:val="22"/>
        </w:rPr>
      </w:pPr>
      <w:r>
        <w:rPr>
          <w:b/>
          <w:bCs/>
          <w:sz w:val="22"/>
          <w:szCs w:val="22"/>
        </w:rPr>
        <w:t>GOALS</w:t>
      </w:r>
    </w:p>
    <w:p w:rsidR="00B92DF8" w:rsidRDefault="00296D56" w:rsidP="007A2873">
      <w:pPr>
        <w:jc w:val="center"/>
        <w:rPr>
          <w:b/>
          <w:bCs/>
          <w:sz w:val="22"/>
          <w:szCs w:val="22"/>
        </w:rPr>
      </w:pPr>
      <w:r>
        <w:rPr>
          <w:b/>
          <w:bCs/>
          <w:sz w:val="22"/>
          <w:szCs w:val="22"/>
        </w:rPr>
        <w:t>201</w:t>
      </w:r>
      <w:r w:rsidR="0039174F">
        <w:rPr>
          <w:b/>
          <w:bCs/>
          <w:sz w:val="22"/>
          <w:szCs w:val="22"/>
        </w:rPr>
        <w:t>7</w:t>
      </w:r>
      <w:r w:rsidR="00974064">
        <w:rPr>
          <w:b/>
          <w:bCs/>
          <w:sz w:val="22"/>
          <w:szCs w:val="22"/>
        </w:rPr>
        <w:t>-201</w:t>
      </w:r>
      <w:r w:rsidR="0039174F">
        <w:rPr>
          <w:b/>
          <w:bCs/>
          <w:sz w:val="22"/>
          <w:szCs w:val="22"/>
        </w:rPr>
        <w:t>8</w:t>
      </w:r>
    </w:p>
    <w:p w:rsidR="007A2873" w:rsidRPr="00B92DF8" w:rsidRDefault="00B92DF8" w:rsidP="007A2873">
      <w:pPr>
        <w:jc w:val="center"/>
        <w:rPr>
          <w:b/>
          <w:bCs/>
          <w:sz w:val="22"/>
          <w:szCs w:val="22"/>
        </w:rPr>
      </w:pPr>
      <w:proofErr w:type="gramStart"/>
      <w:r w:rsidRPr="00B92DF8">
        <w:rPr>
          <w:b/>
          <w:bCs/>
          <w:sz w:val="16"/>
          <w:szCs w:val="16"/>
        </w:rPr>
        <w:t>rev</w:t>
      </w:r>
      <w:proofErr w:type="gramEnd"/>
      <w:r w:rsidRPr="00B92DF8">
        <w:rPr>
          <w:b/>
          <w:bCs/>
          <w:sz w:val="16"/>
          <w:szCs w:val="16"/>
        </w:rPr>
        <w:t xml:space="preserve">. </w:t>
      </w:r>
      <w:r w:rsidR="007E7A92">
        <w:rPr>
          <w:b/>
          <w:bCs/>
          <w:sz w:val="16"/>
          <w:szCs w:val="16"/>
        </w:rPr>
        <w:t>10-01-2018</w:t>
      </w:r>
      <w:bookmarkStart w:id="0" w:name="_GoBack"/>
      <w:bookmarkEnd w:id="0"/>
    </w:p>
    <w:tbl>
      <w:tblPr>
        <w:tblStyle w:val="TableGrid"/>
        <w:tblW w:w="0" w:type="auto"/>
        <w:tblLook w:val="04A0" w:firstRow="1" w:lastRow="0" w:firstColumn="1" w:lastColumn="0" w:noHBand="0" w:noVBand="1"/>
      </w:tblPr>
      <w:tblGrid>
        <w:gridCol w:w="546"/>
        <w:gridCol w:w="4782"/>
        <w:gridCol w:w="3986"/>
      </w:tblGrid>
      <w:tr w:rsidR="00663E1F" w:rsidTr="00663E1F">
        <w:tc>
          <w:tcPr>
            <w:tcW w:w="546" w:type="dxa"/>
            <w:tcBorders>
              <w:top w:val="single" w:sz="18" w:space="0" w:color="auto"/>
              <w:left w:val="single" w:sz="18" w:space="0" w:color="auto"/>
              <w:bottom w:val="single" w:sz="18" w:space="0" w:color="auto"/>
              <w:right w:val="single" w:sz="18" w:space="0" w:color="auto"/>
            </w:tcBorders>
          </w:tcPr>
          <w:p w:rsidR="005418B8" w:rsidRDefault="005418B8" w:rsidP="005418B8">
            <w:pPr>
              <w:rPr>
                <w:b/>
                <w:bCs/>
                <w:sz w:val="22"/>
                <w:szCs w:val="22"/>
              </w:rPr>
            </w:pPr>
            <w:r>
              <w:rPr>
                <w:b/>
                <w:bCs/>
                <w:sz w:val="22"/>
                <w:szCs w:val="22"/>
              </w:rPr>
              <w:t>#</w:t>
            </w:r>
          </w:p>
        </w:tc>
        <w:tc>
          <w:tcPr>
            <w:tcW w:w="4782"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GOALS</w:t>
            </w:r>
          </w:p>
        </w:tc>
        <w:tc>
          <w:tcPr>
            <w:tcW w:w="3986" w:type="dxa"/>
            <w:tcBorders>
              <w:top w:val="single" w:sz="18" w:space="0" w:color="auto"/>
              <w:left w:val="single" w:sz="18" w:space="0" w:color="auto"/>
              <w:bottom w:val="single" w:sz="18" w:space="0" w:color="auto"/>
              <w:right w:val="single" w:sz="18" w:space="0" w:color="auto"/>
            </w:tcBorders>
          </w:tcPr>
          <w:p w:rsidR="005418B8" w:rsidRDefault="005418B8" w:rsidP="007A2873">
            <w:pPr>
              <w:jc w:val="center"/>
              <w:rPr>
                <w:b/>
                <w:bCs/>
                <w:sz w:val="22"/>
                <w:szCs w:val="22"/>
              </w:rPr>
            </w:pPr>
            <w:r>
              <w:rPr>
                <w:b/>
                <w:bCs/>
                <w:sz w:val="22"/>
                <w:szCs w:val="22"/>
              </w:rPr>
              <w:t>ACCOMPLISHMENTS</w:t>
            </w:r>
          </w:p>
        </w:tc>
      </w:tr>
      <w:tr w:rsidR="00E549EF" w:rsidTr="00663E1F">
        <w:tc>
          <w:tcPr>
            <w:tcW w:w="546" w:type="dxa"/>
            <w:tcBorders>
              <w:top w:val="single" w:sz="18" w:space="0" w:color="auto"/>
            </w:tcBorders>
          </w:tcPr>
          <w:p w:rsidR="00E549EF" w:rsidRDefault="00E549EF" w:rsidP="00E549EF">
            <w:pPr>
              <w:jc w:val="center"/>
              <w:rPr>
                <w:b/>
                <w:bCs/>
                <w:sz w:val="22"/>
                <w:szCs w:val="22"/>
              </w:rPr>
            </w:pPr>
            <w:r>
              <w:rPr>
                <w:b/>
                <w:bCs/>
                <w:sz w:val="22"/>
                <w:szCs w:val="22"/>
              </w:rPr>
              <w:t>1</w:t>
            </w:r>
          </w:p>
        </w:tc>
        <w:tc>
          <w:tcPr>
            <w:tcW w:w="4782" w:type="dxa"/>
            <w:tcBorders>
              <w:top w:val="single" w:sz="18" w:space="0" w:color="auto"/>
            </w:tcBorders>
          </w:tcPr>
          <w:p w:rsidR="00E549EF" w:rsidRPr="000A32B3" w:rsidRDefault="00E549EF" w:rsidP="00E549EF">
            <w:pPr>
              <w:rPr>
                <w:b/>
                <w:bCs/>
              </w:rPr>
            </w:pPr>
            <w:r>
              <w:rPr>
                <w:bCs/>
              </w:rPr>
              <w:t>Determine a method and location for continued collection of evidence of compliance with accreditation standards.</w:t>
            </w:r>
          </w:p>
        </w:tc>
        <w:tc>
          <w:tcPr>
            <w:tcW w:w="3986" w:type="dxa"/>
            <w:tcBorders>
              <w:top w:val="single" w:sz="18" w:space="0" w:color="auto"/>
            </w:tcBorders>
          </w:tcPr>
          <w:p w:rsidR="00E549EF" w:rsidRPr="00316BEC" w:rsidRDefault="002027F1" w:rsidP="00E549EF">
            <w:pPr>
              <w:rPr>
                <w:bCs/>
                <w:sz w:val="22"/>
                <w:szCs w:val="22"/>
              </w:rPr>
            </w:pPr>
            <w:r>
              <w:rPr>
                <w:bCs/>
                <w:sz w:val="22"/>
                <w:szCs w:val="22"/>
              </w:rPr>
              <w:t>Goal met- ASAG determined Share Point will be used to store ongoing evidence for accreditation.</w:t>
            </w:r>
          </w:p>
        </w:tc>
      </w:tr>
      <w:tr w:rsidR="00663E1F" w:rsidTr="00663E1F">
        <w:tc>
          <w:tcPr>
            <w:tcW w:w="546" w:type="dxa"/>
          </w:tcPr>
          <w:p w:rsidR="005418B8" w:rsidRDefault="005418B8" w:rsidP="007A2873">
            <w:pPr>
              <w:jc w:val="center"/>
              <w:rPr>
                <w:b/>
                <w:bCs/>
                <w:sz w:val="22"/>
                <w:szCs w:val="22"/>
              </w:rPr>
            </w:pPr>
            <w:r>
              <w:rPr>
                <w:b/>
                <w:bCs/>
                <w:sz w:val="22"/>
                <w:szCs w:val="22"/>
              </w:rPr>
              <w:t>2</w:t>
            </w:r>
          </w:p>
        </w:tc>
        <w:tc>
          <w:tcPr>
            <w:tcW w:w="4782" w:type="dxa"/>
          </w:tcPr>
          <w:p w:rsidR="005418B8" w:rsidRPr="00E549EF" w:rsidRDefault="00E549EF" w:rsidP="007B7F6F">
            <w:pPr>
              <w:rPr>
                <w:bCs/>
              </w:rPr>
            </w:pPr>
            <w:r>
              <w:rPr>
                <w:bCs/>
              </w:rPr>
              <w:t>Complete writing and submission of follow-up report with evidence by March 15 by establishing leads for standards well in advance to accomplish yearly tasks identified on WASC (ACCJC) Seven-Year Cycle document.</w:t>
            </w:r>
          </w:p>
        </w:tc>
        <w:tc>
          <w:tcPr>
            <w:tcW w:w="3986" w:type="dxa"/>
          </w:tcPr>
          <w:p w:rsidR="005418B8" w:rsidRPr="00316BEC" w:rsidRDefault="002027F1" w:rsidP="001F7E6F">
            <w:pPr>
              <w:rPr>
                <w:bCs/>
                <w:sz w:val="22"/>
                <w:szCs w:val="22"/>
              </w:rPr>
            </w:pPr>
            <w:r>
              <w:rPr>
                <w:bCs/>
                <w:sz w:val="22"/>
                <w:szCs w:val="22"/>
              </w:rPr>
              <w:t>Goal met- Follow-up report completed and accreditation was reaffirmed through 2023.</w:t>
            </w:r>
          </w:p>
        </w:tc>
      </w:tr>
      <w:tr w:rsidR="00663E1F" w:rsidTr="00663E1F">
        <w:tc>
          <w:tcPr>
            <w:tcW w:w="546" w:type="dxa"/>
          </w:tcPr>
          <w:p w:rsidR="005418B8" w:rsidRDefault="005418B8" w:rsidP="007A2873">
            <w:pPr>
              <w:jc w:val="center"/>
              <w:rPr>
                <w:b/>
                <w:bCs/>
                <w:sz w:val="22"/>
                <w:szCs w:val="22"/>
              </w:rPr>
            </w:pPr>
            <w:r>
              <w:rPr>
                <w:b/>
                <w:bCs/>
                <w:sz w:val="22"/>
                <w:szCs w:val="22"/>
              </w:rPr>
              <w:t>3</w:t>
            </w:r>
          </w:p>
        </w:tc>
        <w:tc>
          <w:tcPr>
            <w:tcW w:w="4782" w:type="dxa"/>
          </w:tcPr>
          <w:p w:rsidR="00E549EF" w:rsidRPr="00E549EF" w:rsidRDefault="00E549EF" w:rsidP="00B60F53">
            <w:pPr>
              <w:rPr>
                <w:bCs/>
              </w:rPr>
            </w:pPr>
            <w:r w:rsidRPr="00E549EF">
              <w:rPr>
                <w:bCs/>
              </w:rPr>
              <w:t>Create accreditation documents for distribution to campus as part of regular communication and standardization of good practice; including:</w:t>
            </w:r>
          </w:p>
          <w:p w:rsidR="00E549EF"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Accreditation tips</w:t>
            </w:r>
          </w:p>
          <w:p w:rsidR="00E549EF"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FAQs</w:t>
            </w:r>
          </w:p>
          <w:p w:rsidR="005418B8"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 xml:space="preserve">Definition of terms </w:t>
            </w:r>
          </w:p>
          <w:p w:rsidR="00E549EF" w:rsidRPr="00E549EF" w:rsidRDefault="00E549EF" w:rsidP="00E549EF">
            <w:pPr>
              <w:pStyle w:val="ListParagraph"/>
              <w:numPr>
                <w:ilvl w:val="0"/>
                <w:numId w:val="11"/>
              </w:numPr>
              <w:rPr>
                <w:rFonts w:ascii="Times New Roman" w:hAnsi="Times New Roman"/>
                <w:bCs/>
                <w:sz w:val="24"/>
                <w:szCs w:val="24"/>
              </w:rPr>
            </w:pPr>
            <w:r w:rsidRPr="00E549EF">
              <w:rPr>
                <w:rFonts w:ascii="Times New Roman" w:hAnsi="Times New Roman"/>
                <w:bCs/>
                <w:sz w:val="24"/>
                <w:szCs w:val="24"/>
              </w:rPr>
              <w:t>Standing agenda items for meetings</w:t>
            </w:r>
          </w:p>
        </w:tc>
        <w:tc>
          <w:tcPr>
            <w:tcW w:w="3986" w:type="dxa"/>
          </w:tcPr>
          <w:p w:rsidR="005418B8" w:rsidRPr="00316BEC" w:rsidRDefault="002027F1" w:rsidP="00CF176D">
            <w:pPr>
              <w:rPr>
                <w:bCs/>
                <w:sz w:val="22"/>
                <w:szCs w:val="22"/>
              </w:rPr>
            </w:pPr>
            <w:r>
              <w:rPr>
                <w:bCs/>
                <w:sz w:val="22"/>
                <w:szCs w:val="22"/>
              </w:rPr>
              <w:t>Goal not meet and agreed to be a carry over to 2018-19 academic year.</w:t>
            </w:r>
          </w:p>
        </w:tc>
      </w:tr>
    </w:tbl>
    <w:p w:rsidR="005418B8" w:rsidRDefault="005418B8" w:rsidP="00E549EF">
      <w:pPr>
        <w:rPr>
          <w:b/>
          <w:bCs/>
          <w:sz w:val="22"/>
          <w:szCs w:val="22"/>
        </w:rPr>
      </w:pPr>
    </w:p>
    <w:p w:rsidR="007A2873" w:rsidRDefault="007A2873" w:rsidP="007A2873">
      <w:pPr>
        <w:jc w:val="center"/>
        <w:rPr>
          <w:b/>
          <w:bCs/>
          <w:sz w:val="22"/>
          <w:szCs w:val="22"/>
        </w:rPr>
      </w:pPr>
    </w:p>
    <w:sectPr w:rsidR="007A2873" w:rsidSect="006654F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541F3"/>
    <w:multiLevelType w:val="multilevel"/>
    <w:tmpl w:val="0409001D"/>
    <w:styleLink w:val="MTRoNum"/>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154A5"/>
    <w:multiLevelType w:val="hybridMultilevel"/>
    <w:tmpl w:val="67D25530"/>
    <w:lvl w:ilvl="0" w:tplc="39EEA7FE">
      <w:start w:val="1"/>
      <w:numFmt w:val="upperRoman"/>
      <w:lvlText w:val="%1."/>
      <w:lvlJc w:val="left"/>
      <w:pPr>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963391"/>
    <w:multiLevelType w:val="hybridMultilevel"/>
    <w:tmpl w:val="E04EA4F0"/>
    <w:lvl w:ilvl="0" w:tplc="A398B10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4E3591A"/>
    <w:multiLevelType w:val="hybridMultilevel"/>
    <w:tmpl w:val="E38E4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5A99"/>
    <w:multiLevelType w:val="multilevel"/>
    <w:tmpl w:val="D3E474E4"/>
    <w:styleLink w:val="RoNumMine"/>
    <w:lvl w:ilvl="0">
      <w:start w:val="1"/>
      <w:numFmt w:val="upperRoman"/>
      <w:lvlText w:val="%1."/>
      <w:lvlJc w:val="left"/>
      <w:pPr>
        <w:ind w:left="504" w:hanging="50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D5268F2"/>
    <w:multiLevelType w:val="multilevel"/>
    <w:tmpl w:val="37FE5D04"/>
    <w:styleLink w:val="Mine"/>
    <w:lvl w:ilvl="0">
      <w:start w:val="1"/>
      <w:numFmt w:val="upperRoman"/>
      <w:lvlText w:val="%1."/>
      <w:lvlJc w:val="left"/>
      <w:pPr>
        <w:ind w:left="360" w:hanging="360"/>
      </w:pPr>
      <w:rPr>
        <w:rFonts w:ascii="Corbel" w:hAnsi="Corbel"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03511EC"/>
    <w:multiLevelType w:val="hybridMultilevel"/>
    <w:tmpl w:val="82EE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207E4"/>
    <w:multiLevelType w:val="hybridMultilevel"/>
    <w:tmpl w:val="E1B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E7413"/>
    <w:multiLevelType w:val="hybridMultilevel"/>
    <w:tmpl w:val="BD18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61ABF"/>
    <w:multiLevelType w:val="multilevel"/>
    <w:tmpl w:val="D8163EA0"/>
    <w:styleLink w:val="Style1"/>
    <w:lvl w:ilvl="0">
      <w:start w:val="1"/>
      <w:numFmt w:val="decimal"/>
      <w:lvlText w:val="%1."/>
      <w:lvlJc w:val="left"/>
      <w:pPr>
        <w:ind w:left="465" w:hanging="46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10"/>
  </w:num>
  <w:num w:numId="5">
    <w:abstractNumId w:val="9"/>
  </w:num>
  <w:num w:numId="6">
    <w:abstractNumId w:val="8"/>
  </w:num>
  <w:num w:numId="7">
    <w:abstractNumId w:val="2"/>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73"/>
    <w:rsid w:val="000035F0"/>
    <w:rsid w:val="00023E20"/>
    <w:rsid w:val="000A32B3"/>
    <w:rsid w:val="000F5383"/>
    <w:rsid w:val="001B48AF"/>
    <w:rsid w:val="001F7E6F"/>
    <w:rsid w:val="002027F1"/>
    <w:rsid w:val="00234232"/>
    <w:rsid w:val="00246BA8"/>
    <w:rsid w:val="002938E6"/>
    <w:rsid w:val="00296D56"/>
    <w:rsid w:val="002F1B81"/>
    <w:rsid w:val="002F2061"/>
    <w:rsid w:val="00316BEC"/>
    <w:rsid w:val="003265AC"/>
    <w:rsid w:val="00347F1E"/>
    <w:rsid w:val="00352C50"/>
    <w:rsid w:val="0039174F"/>
    <w:rsid w:val="00432344"/>
    <w:rsid w:val="005418B8"/>
    <w:rsid w:val="00575890"/>
    <w:rsid w:val="005A66A8"/>
    <w:rsid w:val="0063422C"/>
    <w:rsid w:val="00663E1F"/>
    <w:rsid w:val="006654F4"/>
    <w:rsid w:val="006D7E9B"/>
    <w:rsid w:val="006E140B"/>
    <w:rsid w:val="00711FAC"/>
    <w:rsid w:val="00771307"/>
    <w:rsid w:val="00795328"/>
    <w:rsid w:val="007A2873"/>
    <w:rsid w:val="007B298C"/>
    <w:rsid w:val="007B7F6F"/>
    <w:rsid w:val="007E7A92"/>
    <w:rsid w:val="00814D4B"/>
    <w:rsid w:val="00850F68"/>
    <w:rsid w:val="008B349B"/>
    <w:rsid w:val="00955735"/>
    <w:rsid w:val="00974064"/>
    <w:rsid w:val="009D481D"/>
    <w:rsid w:val="009F4CDF"/>
    <w:rsid w:val="00A10752"/>
    <w:rsid w:val="00A77163"/>
    <w:rsid w:val="00A8581F"/>
    <w:rsid w:val="00A94875"/>
    <w:rsid w:val="00AD7337"/>
    <w:rsid w:val="00B03AAB"/>
    <w:rsid w:val="00B60F53"/>
    <w:rsid w:val="00B61110"/>
    <w:rsid w:val="00B73D15"/>
    <w:rsid w:val="00B92DF8"/>
    <w:rsid w:val="00BD1EF1"/>
    <w:rsid w:val="00C4571A"/>
    <w:rsid w:val="00CF10C0"/>
    <w:rsid w:val="00CF176D"/>
    <w:rsid w:val="00CF39ED"/>
    <w:rsid w:val="00D523C3"/>
    <w:rsid w:val="00E15CED"/>
    <w:rsid w:val="00E51D73"/>
    <w:rsid w:val="00E549EF"/>
    <w:rsid w:val="00E74591"/>
    <w:rsid w:val="00F36905"/>
    <w:rsid w:val="00F9158D"/>
    <w:rsid w:val="00FF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6FC6E-B6E4-498C-B636-BB664D45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NumMine">
    <w:name w:val="RoNumMine"/>
    <w:uiPriority w:val="99"/>
    <w:rsid w:val="00850F68"/>
    <w:pPr>
      <w:numPr>
        <w:numId w:val="1"/>
      </w:numPr>
    </w:pPr>
  </w:style>
  <w:style w:type="numbering" w:customStyle="1" w:styleId="Mine">
    <w:name w:val="Mine"/>
    <w:uiPriority w:val="99"/>
    <w:rsid w:val="00771307"/>
    <w:pPr>
      <w:numPr>
        <w:numId w:val="2"/>
      </w:numPr>
    </w:pPr>
  </w:style>
  <w:style w:type="numbering" w:customStyle="1" w:styleId="MTRoNum">
    <w:name w:val="MT RoNum"/>
    <w:uiPriority w:val="99"/>
    <w:rsid w:val="005A66A8"/>
    <w:pPr>
      <w:numPr>
        <w:numId w:val="3"/>
      </w:numPr>
    </w:pPr>
  </w:style>
  <w:style w:type="numbering" w:customStyle="1" w:styleId="Style1">
    <w:name w:val="Style1"/>
    <w:rsid w:val="00E74591"/>
    <w:pPr>
      <w:numPr>
        <w:numId w:val="4"/>
      </w:numPr>
    </w:pPr>
  </w:style>
  <w:style w:type="paragraph" w:styleId="Title">
    <w:name w:val="Title"/>
    <w:basedOn w:val="Normal"/>
    <w:next w:val="Normal"/>
    <w:link w:val="TitleChar"/>
    <w:uiPriority w:val="10"/>
    <w:qFormat/>
    <w:rsid w:val="005418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8B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4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FAC"/>
    <w:rPr>
      <w:rFonts w:ascii="Tahoma" w:hAnsi="Tahoma" w:cs="Tahoma"/>
      <w:sz w:val="16"/>
      <w:szCs w:val="16"/>
    </w:rPr>
  </w:style>
  <w:style w:type="character" w:customStyle="1" w:styleId="BalloonTextChar">
    <w:name w:val="Balloon Text Char"/>
    <w:basedOn w:val="DefaultParagraphFont"/>
    <w:link w:val="BalloonText"/>
    <w:uiPriority w:val="99"/>
    <w:semiHidden/>
    <w:rsid w:val="00711FAC"/>
    <w:rPr>
      <w:rFonts w:ascii="Tahoma" w:eastAsia="Times New Roman" w:hAnsi="Tahoma" w:cs="Tahoma"/>
      <w:sz w:val="16"/>
      <w:szCs w:val="16"/>
    </w:rPr>
  </w:style>
  <w:style w:type="paragraph" w:styleId="NoSpacing">
    <w:name w:val="No Spacing"/>
    <w:uiPriority w:val="1"/>
    <w:qFormat/>
    <w:rsid w:val="000A32B3"/>
    <w:pPr>
      <w:spacing w:after="0" w:line="240" w:lineRule="auto"/>
    </w:pPr>
  </w:style>
  <w:style w:type="paragraph" w:styleId="ListParagraph">
    <w:name w:val="List Paragraph"/>
    <w:basedOn w:val="Normal"/>
    <w:uiPriority w:val="99"/>
    <w:qFormat/>
    <w:rsid w:val="00B60F53"/>
    <w:pPr>
      <w:spacing w:after="200" w:line="276" w:lineRule="auto"/>
      <w:ind w:left="720"/>
      <w:contextualSpacing/>
    </w:pPr>
    <w:rPr>
      <w:rFonts w:ascii="Calibri" w:hAnsi="Calibri"/>
      <w:sz w:val="22"/>
      <w:szCs w:val="22"/>
    </w:rPr>
  </w:style>
  <w:style w:type="paragraph" w:customStyle="1" w:styleId="Default">
    <w:name w:val="Default"/>
    <w:rsid w:val="00B60F5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F3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MTennant</dc:creator>
  <cp:lastModifiedBy>Kimberly Hoffmans</cp:lastModifiedBy>
  <cp:revision>5</cp:revision>
  <cp:lastPrinted>2018-10-01T20:15:00Z</cp:lastPrinted>
  <dcterms:created xsi:type="dcterms:W3CDTF">2017-10-02T16:21:00Z</dcterms:created>
  <dcterms:modified xsi:type="dcterms:W3CDTF">2018-10-01T20:15:00Z</dcterms:modified>
</cp:coreProperties>
</file>