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33" w:rsidRPr="002F5148" w:rsidRDefault="00D91E33" w:rsidP="00D91E33">
      <w:pPr>
        <w:widowControl w:val="0"/>
        <w:autoSpaceDE w:val="0"/>
        <w:autoSpaceDN w:val="0"/>
        <w:adjustRightInd w:val="0"/>
        <w:ind w:right="-720"/>
        <w:jc w:val="center"/>
        <w:rPr>
          <w:rFonts w:cs="Calibri"/>
          <w:b/>
          <w:bCs/>
        </w:rPr>
      </w:pPr>
      <w:bookmarkStart w:id="0" w:name="_GoBack"/>
      <w:bookmarkEnd w:id="0"/>
      <w:r w:rsidRPr="002F5148">
        <w:rPr>
          <w:rFonts w:cs="Calibri"/>
          <w:b/>
          <w:bCs/>
        </w:rPr>
        <w:t>Ventura College Academic Senate</w:t>
      </w:r>
    </w:p>
    <w:p w:rsidR="00D91E33" w:rsidRPr="002F5148" w:rsidRDefault="00D91E33" w:rsidP="00D91E33">
      <w:pPr>
        <w:widowControl w:val="0"/>
        <w:autoSpaceDE w:val="0"/>
        <w:autoSpaceDN w:val="0"/>
        <w:adjustRightInd w:val="0"/>
        <w:ind w:right="-720"/>
        <w:jc w:val="center"/>
        <w:rPr>
          <w:rFonts w:cs="Calibri"/>
          <w:b/>
          <w:bCs/>
        </w:rPr>
      </w:pPr>
      <w:r>
        <w:rPr>
          <w:rFonts w:cs="Calibri"/>
          <w:b/>
          <w:bCs/>
        </w:rPr>
        <w:t>Minutes</w:t>
      </w:r>
    </w:p>
    <w:p w:rsidR="00D91E33" w:rsidRPr="002F5148" w:rsidRDefault="00D91E33" w:rsidP="00D91E33">
      <w:pPr>
        <w:widowControl w:val="0"/>
        <w:autoSpaceDE w:val="0"/>
        <w:autoSpaceDN w:val="0"/>
        <w:adjustRightInd w:val="0"/>
        <w:ind w:right="-720"/>
        <w:jc w:val="center"/>
        <w:rPr>
          <w:rFonts w:cs="Calibri"/>
          <w:b/>
          <w:bCs/>
        </w:rPr>
      </w:pPr>
      <w:r w:rsidRPr="002F5148">
        <w:rPr>
          <w:rFonts w:cs="Calibri"/>
          <w:b/>
          <w:bCs/>
        </w:rPr>
        <w:t xml:space="preserve">Thursday, </w:t>
      </w:r>
      <w:r w:rsidR="00CE5A64">
        <w:rPr>
          <w:rFonts w:cs="Calibri"/>
          <w:b/>
          <w:bCs/>
        </w:rPr>
        <w:t>April 7, 2016</w:t>
      </w:r>
    </w:p>
    <w:p w:rsidR="00D91E33" w:rsidRPr="002F5148" w:rsidRDefault="00D91E33" w:rsidP="00D91E33">
      <w:pPr>
        <w:widowControl w:val="0"/>
        <w:autoSpaceDE w:val="0"/>
        <w:autoSpaceDN w:val="0"/>
        <w:adjustRightInd w:val="0"/>
        <w:ind w:right="-720"/>
        <w:jc w:val="center"/>
        <w:rPr>
          <w:rFonts w:cs="Calibri"/>
          <w:b/>
          <w:bCs/>
        </w:rPr>
      </w:pPr>
      <w:r>
        <w:rPr>
          <w:rFonts w:cs="Calibri"/>
          <w:b/>
          <w:bCs/>
        </w:rPr>
        <w:t>2:00–</w:t>
      </w:r>
      <w:r w:rsidRPr="002F5148">
        <w:rPr>
          <w:rFonts w:cs="Calibri"/>
          <w:b/>
          <w:bCs/>
        </w:rPr>
        <w:t xml:space="preserve">3:30 p.m. </w:t>
      </w:r>
      <w:r>
        <w:rPr>
          <w:rFonts w:cs="Calibri"/>
          <w:b/>
          <w:bCs/>
        </w:rPr>
        <w:t xml:space="preserve">in </w:t>
      </w:r>
      <w:r w:rsidRPr="002F5148">
        <w:rPr>
          <w:rFonts w:cs="Calibri"/>
          <w:b/>
          <w:bCs/>
        </w:rPr>
        <w:t>MCW 312</w:t>
      </w:r>
    </w:p>
    <w:p w:rsidR="00D91E33" w:rsidRDefault="00D91E33"/>
    <w:p w:rsidR="00D91E33" w:rsidRDefault="00D91E33"/>
    <w:p w:rsidR="00D91E33" w:rsidRDefault="00D91E33"/>
    <w:p w:rsidR="00EA618D" w:rsidRDefault="003B6741">
      <w:r w:rsidRPr="00872D5A">
        <w:rPr>
          <w:b/>
        </w:rPr>
        <w:t xml:space="preserve">I. </w:t>
      </w:r>
      <w:r w:rsidR="00872D5A" w:rsidRPr="00872D5A">
        <w:rPr>
          <w:b/>
        </w:rPr>
        <w:t>C</w:t>
      </w:r>
      <w:r w:rsidR="007977D0" w:rsidRPr="00872D5A">
        <w:rPr>
          <w:b/>
        </w:rPr>
        <w:t xml:space="preserve">all to </w:t>
      </w:r>
      <w:r w:rsidR="00872D5A">
        <w:rPr>
          <w:b/>
        </w:rPr>
        <w:t>O</w:t>
      </w:r>
      <w:r w:rsidR="007977D0" w:rsidRPr="00872D5A">
        <w:rPr>
          <w:b/>
        </w:rPr>
        <w:t>rder</w:t>
      </w:r>
      <w:r w:rsidR="00872D5A">
        <w:rPr>
          <w:b/>
        </w:rPr>
        <w:t xml:space="preserve">: </w:t>
      </w:r>
      <w:r w:rsidR="00CE5A64">
        <w:t>2:08</w:t>
      </w:r>
      <w:r w:rsidR="00872D5A">
        <w:t>p.m.  Senators in attendance were as follows:</w:t>
      </w:r>
    </w:p>
    <w:tbl>
      <w:tblPr>
        <w:tblStyle w:val="TableGrid"/>
        <w:tblpPr w:leftFromText="180" w:rightFromText="180" w:vertAnchor="text" w:horzAnchor="page" w:tblpX="2629" w:tblpY="190"/>
        <w:tblW w:w="0" w:type="auto"/>
        <w:tblLayout w:type="fixed"/>
        <w:tblLook w:val="00BF" w:firstRow="1" w:lastRow="0" w:firstColumn="1" w:lastColumn="0" w:noHBand="0" w:noVBand="0"/>
      </w:tblPr>
      <w:tblGrid>
        <w:gridCol w:w="2456"/>
        <w:gridCol w:w="3050"/>
        <w:gridCol w:w="992"/>
        <w:gridCol w:w="992"/>
        <w:gridCol w:w="900"/>
      </w:tblGrid>
      <w:tr w:rsidR="00D91E33" w:rsidRPr="0016235A">
        <w:tc>
          <w:tcPr>
            <w:tcW w:w="2456" w:type="dxa"/>
          </w:tcPr>
          <w:p w:rsidR="00D91E33" w:rsidRPr="0016235A" w:rsidRDefault="00D91E33" w:rsidP="002C5921">
            <w:pPr>
              <w:rPr>
                <w:rFonts w:asciiTheme="majorHAnsi" w:hAnsiTheme="majorHAnsi"/>
                <w:b/>
              </w:rPr>
            </w:pPr>
            <w:r w:rsidRPr="0016235A">
              <w:rPr>
                <w:rFonts w:asciiTheme="majorHAnsi" w:hAnsiTheme="majorHAnsi"/>
                <w:b/>
              </w:rPr>
              <w:t>Senator</w:t>
            </w:r>
          </w:p>
        </w:tc>
        <w:tc>
          <w:tcPr>
            <w:tcW w:w="3050" w:type="dxa"/>
          </w:tcPr>
          <w:p w:rsidR="00D91E33" w:rsidRPr="0016235A" w:rsidRDefault="00D91E33" w:rsidP="002C5921">
            <w:pPr>
              <w:rPr>
                <w:rFonts w:asciiTheme="majorHAnsi" w:hAnsiTheme="majorHAnsi"/>
                <w:b/>
              </w:rPr>
            </w:pPr>
            <w:r w:rsidRPr="0016235A">
              <w:rPr>
                <w:rFonts w:asciiTheme="majorHAnsi" w:hAnsiTheme="majorHAnsi"/>
                <w:b/>
              </w:rPr>
              <w:t>Division Represented</w:t>
            </w:r>
          </w:p>
        </w:tc>
        <w:tc>
          <w:tcPr>
            <w:tcW w:w="992" w:type="dxa"/>
          </w:tcPr>
          <w:p w:rsidR="00D91E33" w:rsidRPr="0016235A" w:rsidRDefault="00D91E33" w:rsidP="002C5921">
            <w:pPr>
              <w:rPr>
                <w:rFonts w:asciiTheme="majorHAnsi" w:hAnsiTheme="majorHAnsi"/>
                <w:b/>
              </w:rPr>
            </w:pPr>
            <w:r w:rsidRPr="0016235A">
              <w:rPr>
                <w:rFonts w:asciiTheme="majorHAnsi" w:hAnsiTheme="majorHAnsi"/>
                <w:b/>
              </w:rPr>
              <w:t>Initials</w:t>
            </w:r>
          </w:p>
        </w:tc>
        <w:tc>
          <w:tcPr>
            <w:tcW w:w="992" w:type="dxa"/>
          </w:tcPr>
          <w:p w:rsidR="00D91E33" w:rsidRPr="0016235A" w:rsidRDefault="00D91E33" w:rsidP="002C5921">
            <w:pPr>
              <w:rPr>
                <w:rFonts w:asciiTheme="majorHAnsi" w:hAnsiTheme="majorHAnsi"/>
                <w:b/>
              </w:rPr>
            </w:pPr>
            <w:r w:rsidRPr="0016235A">
              <w:rPr>
                <w:rFonts w:asciiTheme="majorHAnsi" w:hAnsiTheme="majorHAnsi"/>
                <w:b/>
              </w:rPr>
              <w:t>Present</w:t>
            </w:r>
          </w:p>
        </w:tc>
        <w:tc>
          <w:tcPr>
            <w:tcW w:w="900" w:type="dxa"/>
          </w:tcPr>
          <w:p w:rsidR="00D91E33" w:rsidRPr="0016235A" w:rsidRDefault="00D91E33" w:rsidP="002C5921">
            <w:pPr>
              <w:rPr>
                <w:rFonts w:asciiTheme="majorHAnsi" w:hAnsiTheme="majorHAnsi"/>
                <w:b/>
              </w:rPr>
            </w:pPr>
            <w:r w:rsidRPr="0016235A">
              <w:rPr>
                <w:rFonts w:asciiTheme="majorHAnsi" w:hAnsiTheme="majorHAnsi"/>
                <w:b/>
              </w:rPr>
              <w:t>Absent</w:t>
            </w:r>
          </w:p>
        </w:tc>
      </w:tr>
      <w:tr w:rsidR="00D91E33" w:rsidRPr="0016235A">
        <w:tc>
          <w:tcPr>
            <w:tcW w:w="2456" w:type="dxa"/>
          </w:tcPr>
          <w:p w:rsidR="00D91E33" w:rsidRPr="00CE73C0" w:rsidRDefault="00D91E33" w:rsidP="002C5921">
            <w:pPr>
              <w:widowControl w:val="0"/>
              <w:tabs>
                <w:tab w:val="left" w:pos="7160"/>
              </w:tabs>
              <w:autoSpaceDE w:val="0"/>
              <w:autoSpaceDN w:val="0"/>
              <w:adjustRightInd w:val="0"/>
              <w:rPr>
                <w:rFonts w:asciiTheme="majorHAnsi" w:hAnsiTheme="majorHAnsi" w:cs="Calibri"/>
                <w:color w:val="000000"/>
              </w:rPr>
            </w:pPr>
            <w:r w:rsidRPr="00CE73C0">
              <w:rPr>
                <w:rFonts w:asciiTheme="majorHAnsi" w:hAnsiTheme="majorHAnsi" w:cs="Calibri"/>
                <w:color w:val="000000"/>
              </w:rPr>
              <w:t>Algiers, Kammy</w:t>
            </w:r>
          </w:p>
        </w:tc>
        <w:tc>
          <w:tcPr>
            <w:tcW w:w="3050" w:type="dxa"/>
          </w:tcPr>
          <w:p w:rsidR="00D91E33" w:rsidRPr="00CE73C0" w:rsidRDefault="00D91E33" w:rsidP="002C5921">
            <w:pPr>
              <w:rPr>
                <w:rFonts w:asciiTheme="majorHAnsi" w:hAnsiTheme="majorHAnsi"/>
              </w:rPr>
            </w:pPr>
            <w:r w:rsidRPr="00CE73C0">
              <w:rPr>
                <w:rFonts w:asciiTheme="majorHAnsi" w:hAnsiTheme="majorHAnsi" w:cs="Calibri"/>
                <w:color w:val="000000"/>
              </w:rPr>
              <w:t>Mathematics &amp; Sciences</w:t>
            </w:r>
          </w:p>
        </w:tc>
        <w:tc>
          <w:tcPr>
            <w:tcW w:w="992" w:type="dxa"/>
          </w:tcPr>
          <w:p w:rsidR="00D91E33" w:rsidRPr="00CE73C0" w:rsidRDefault="00D91E33" w:rsidP="002C5921">
            <w:pPr>
              <w:rPr>
                <w:rFonts w:asciiTheme="majorHAnsi" w:hAnsiTheme="majorHAnsi"/>
              </w:rPr>
            </w:pPr>
            <w:r w:rsidRPr="00CE73C0">
              <w:rPr>
                <w:rFonts w:asciiTheme="majorHAnsi" w:hAnsiTheme="majorHAnsi"/>
              </w:rPr>
              <w:t>KA</w:t>
            </w:r>
          </w:p>
        </w:tc>
        <w:tc>
          <w:tcPr>
            <w:tcW w:w="992" w:type="dxa"/>
          </w:tcPr>
          <w:p w:rsidR="00D91E33" w:rsidRPr="00CE73C0" w:rsidRDefault="00D91E33" w:rsidP="002C5921">
            <w:pPr>
              <w:rPr>
                <w:rFonts w:asciiTheme="majorHAnsi" w:hAnsiTheme="majorHAnsi"/>
              </w:rPr>
            </w:pPr>
          </w:p>
        </w:tc>
        <w:tc>
          <w:tcPr>
            <w:tcW w:w="900" w:type="dxa"/>
          </w:tcPr>
          <w:p w:rsidR="00D91E33" w:rsidRPr="00CE73C0" w:rsidRDefault="00CE5A64" w:rsidP="002C5921">
            <w:pPr>
              <w:rPr>
                <w:rFonts w:asciiTheme="majorHAnsi" w:hAnsiTheme="majorHAnsi"/>
              </w:rPr>
            </w:pPr>
            <w:r>
              <w:rPr>
                <w:rFonts w:asciiTheme="majorHAnsi" w:hAnsiTheme="majorHAnsi"/>
              </w:rPr>
              <w:t>X</w:t>
            </w:r>
          </w:p>
        </w:tc>
      </w:tr>
      <w:tr w:rsidR="00D91E33" w:rsidRPr="0016235A">
        <w:tc>
          <w:tcPr>
            <w:tcW w:w="2456" w:type="dxa"/>
          </w:tcPr>
          <w:p w:rsidR="00D91E33" w:rsidRPr="00CE73C0" w:rsidRDefault="00D91E33" w:rsidP="002C5921">
            <w:pPr>
              <w:widowControl w:val="0"/>
              <w:autoSpaceDE w:val="0"/>
              <w:autoSpaceDN w:val="0"/>
              <w:adjustRightInd w:val="0"/>
              <w:rPr>
                <w:rFonts w:asciiTheme="majorHAnsi" w:hAnsiTheme="majorHAnsi" w:cs="Calibri"/>
                <w:color w:val="000000"/>
              </w:rPr>
            </w:pPr>
            <w:r w:rsidRPr="00CE73C0">
              <w:rPr>
                <w:rFonts w:asciiTheme="majorHAnsi" w:hAnsiTheme="majorHAnsi" w:cs="Calibri"/>
                <w:color w:val="000000"/>
              </w:rPr>
              <w:t>Carrasco-Nungaray, Marian</w:t>
            </w:r>
          </w:p>
        </w:tc>
        <w:tc>
          <w:tcPr>
            <w:tcW w:w="3050" w:type="dxa"/>
          </w:tcPr>
          <w:p w:rsidR="00D91E33" w:rsidRPr="00CE73C0" w:rsidRDefault="00D91E33" w:rsidP="002C5921">
            <w:pPr>
              <w:rPr>
                <w:rFonts w:asciiTheme="majorHAnsi" w:hAnsiTheme="majorHAnsi"/>
              </w:rPr>
            </w:pPr>
            <w:r w:rsidRPr="00CE73C0">
              <w:rPr>
                <w:rFonts w:asciiTheme="majorHAnsi" w:hAnsiTheme="majorHAnsi" w:cs="Calibri"/>
                <w:color w:val="000000"/>
              </w:rPr>
              <w:t>Student Services</w:t>
            </w:r>
          </w:p>
        </w:tc>
        <w:tc>
          <w:tcPr>
            <w:tcW w:w="992" w:type="dxa"/>
          </w:tcPr>
          <w:p w:rsidR="00D91E33" w:rsidRPr="00CE73C0" w:rsidRDefault="00D91E33" w:rsidP="002C5921">
            <w:pPr>
              <w:rPr>
                <w:rFonts w:asciiTheme="majorHAnsi" w:hAnsiTheme="majorHAnsi"/>
              </w:rPr>
            </w:pPr>
            <w:r w:rsidRPr="00CE73C0">
              <w:rPr>
                <w:rFonts w:asciiTheme="majorHAnsi" w:hAnsiTheme="majorHAnsi"/>
              </w:rPr>
              <w:t>MCN</w:t>
            </w:r>
          </w:p>
        </w:tc>
        <w:tc>
          <w:tcPr>
            <w:tcW w:w="992" w:type="dxa"/>
          </w:tcPr>
          <w:p w:rsidR="00D91E33" w:rsidRPr="00CE73C0" w:rsidRDefault="00D91E33" w:rsidP="002C5921">
            <w:pPr>
              <w:rPr>
                <w:rFonts w:asciiTheme="majorHAnsi" w:hAnsiTheme="majorHAnsi"/>
              </w:rPr>
            </w:pPr>
          </w:p>
        </w:tc>
        <w:tc>
          <w:tcPr>
            <w:tcW w:w="900" w:type="dxa"/>
          </w:tcPr>
          <w:p w:rsidR="00D91E33" w:rsidRPr="00CE73C0" w:rsidRDefault="00CE5A64" w:rsidP="002C5921">
            <w:pPr>
              <w:rPr>
                <w:rFonts w:asciiTheme="majorHAnsi" w:hAnsiTheme="majorHAnsi"/>
              </w:rPr>
            </w:pPr>
            <w:r>
              <w:rPr>
                <w:rFonts w:asciiTheme="majorHAnsi" w:hAnsiTheme="majorHAnsi"/>
              </w:rPr>
              <w:t>X</w:t>
            </w:r>
          </w:p>
        </w:tc>
      </w:tr>
      <w:tr w:rsidR="00D91E33" w:rsidRPr="0016235A">
        <w:tc>
          <w:tcPr>
            <w:tcW w:w="2456" w:type="dxa"/>
          </w:tcPr>
          <w:p w:rsidR="00D91E33" w:rsidRPr="00CE73C0" w:rsidRDefault="00D91E33" w:rsidP="002C5921">
            <w:pPr>
              <w:widowControl w:val="0"/>
              <w:autoSpaceDE w:val="0"/>
              <w:autoSpaceDN w:val="0"/>
              <w:adjustRightInd w:val="0"/>
              <w:rPr>
                <w:rFonts w:asciiTheme="majorHAnsi" w:hAnsiTheme="majorHAnsi"/>
              </w:rPr>
            </w:pPr>
            <w:r w:rsidRPr="00CE73C0">
              <w:rPr>
                <w:rFonts w:asciiTheme="majorHAnsi" w:hAnsiTheme="majorHAnsi" w:cs="Calibri"/>
              </w:rPr>
              <w:t>Coffey, Colleen</w:t>
            </w:r>
            <w:r w:rsidRPr="00CE73C0">
              <w:rPr>
                <w:rFonts w:asciiTheme="majorHAnsi" w:hAnsiTheme="majorHAnsi"/>
              </w:rPr>
              <w:t xml:space="preserve"> M.</w:t>
            </w:r>
          </w:p>
        </w:tc>
        <w:tc>
          <w:tcPr>
            <w:tcW w:w="3050" w:type="dxa"/>
          </w:tcPr>
          <w:p w:rsidR="00D91E33" w:rsidRPr="00CE73C0" w:rsidRDefault="00D91E33" w:rsidP="002C5921">
            <w:pPr>
              <w:rPr>
                <w:rFonts w:asciiTheme="majorHAnsi" w:hAnsiTheme="majorHAnsi"/>
              </w:rPr>
            </w:pPr>
            <w:r w:rsidRPr="00CE73C0">
              <w:rPr>
                <w:rFonts w:asciiTheme="majorHAnsi" w:hAnsiTheme="majorHAnsi" w:cs="Calibri"/>
              </w:rPr>
              <w:t>Senate Secretary</w:t>
            </w:r>
          </w:p>
        </w:tc>
        <w:tc>
          <w:tcPr>
            <w:tcW w:w="992" w:type="dxa"/>
          </w:tcPr>
          <w:p w:rsidR="00D91E33" w:rsidRPr="00CE73C0" w:rsidRDefault="00D91E33" w:rsidP="002C5921">
            <w:pPr>
              <w:rPr>
                <w:rFonts w:asciiTheme="majorHAnsi" w:hAnsiTheme="majorHAnsi"/>
              </w:rPr>
            </w:pPr>
            <w:r w:rsidRPr="00CE73C0">
              <w:rPr>
                <w:rFonts w:asciiTheme="majorHAnsi" w:hAnsiTheme="majorHAnsi"/>
              </w:rPr>
              <w:t>CMC</w:t>
            </w:r>
          </w:p>
        </w:tc>
        <w:tc>
          <w:tcPr>
            <w:tcW w:w="992" w:type="dxa"/>
          </w:tcPr>
          <w:p w:rsidR="00D91E33" w:rsidRPr="00CE73C0" w:rsidRDefault="00D91E33" w:rsidP="002C5921">
            <w:pPr>
              <w:rPr>
                <w:rFonts w:asciiTheme="majorHAnsi" w:hAnsiTheme="majorHAnsi"/>
              </w:rPr>
            </w:pPr>
          </w:p>
        </w:tc>
        <w:tc>
          <w:tcPr>
            <w:tcW w:w="900" w:type="dxa"/>
          </w:tcPr>
          <w:p w:rsidR="00D91E33" w:rsidRPr="00CE73C0" w:rsidRDefault="00CE5A64" w:rsidP="002C5921">
            <w:pPr>
              <w:rPr>
                <w:rFonts w:asciiTheme="majorHAnsi" w:hAnsiTheme="majorHAnsi"/>
              </w:rPr>
            </w:pPr>
            <w:r>
              <w:rPr>
                <w:rFonts w:asciiTheme="majorHAnsi" w:hAnsiTheme="majorHAnsi"/>
              </w:rPr>
              <w:t>X</w:t>
            </w:r>
          </w:p>
        </w:tc>
      </w:tr>
      <w:tr w:rsidR="00D91E33" w:rsidRPr="0016235A">
        <w:tc>
          <w:tcPr>
            <w:tcW w:w="2456" w:type="dxa"/>
          </w:tcPr>
          <w:p w:rsidR="009E121F" w:rsidRDefault="009E121F" w:rsidP="002C5921">
            <w:pPr>
              <w:widowControl w:val="0"/>
              <w:autoSpaceDE w:val="0"/>
              <w:autoSpaceDN w:val="0"/>
              <w:adjustRightInd w:val="0"/>
              <w:rPr>
                <w:rFonts w:asciiTheme="majorHAnsi" w:hAnsiTheme="majorHAnsi" w:cs="Calibri"/>
              </w:rPr>
            </w:pPr>
            <w:r>
              <w:rPr>
                <w:rFonts w:asciiTheme="majorHAnsi" w:hAnsiTheme="majorHAnsi" w:cs="Calibri"/>
              </w:rPr>
              <w:t>Dalton, Heidi</w:t>
            </w:r>
          </w:p>
          <w:p w:rsidR="00D91E33" w:rsidRPr="00CE73C0" w:rsidRDefault="007806FB" w:rsidP="002C5921">
            <w:pPr>
              <w:widowControl w:val="0"/>
              <w:autoSpaceDE w:val="0"/>
              <w:autoSpaceDN w:val="0"/>
              <w:adjustRightInd w:val="0"/>
              <w:rPr>
                <w:rFonts w:asciiTheme="majorHAnsi" w:hAnsiTheme="majorHAnsi" w:cs="Calibri"/>
              </w:rPr>
            </w:pPr>
            <w:r>
              <w:rPr>
                <w:rFonts w:asciiTheme="majorHAnsi" w:hAnsiTheme="majorHAnsi" w:cs="Calibri"/>
              </w:rPr>
              <w:t>Forde, Roxanne</w:t>
            </w:r>
          </w:p>
        </w:tc>
        <w:tc>
          <w:tcPr>
            <w:tcW w:w="3050" w:type="dxa"/>
          </w:tcPr>
          <w:p w:rsidR="009E121F" w:rsidRDefault="009E121F" w:rsidP="002C5921">
            <w:pPr>
              <w:rPr>
                <w:rFonts w:asciiTheme="majorHAnsi" w:hAnsiTheme="majorHAnsi" w:cs="Calibri"/>
              </w:rPr>
            </w:pPr>
            <w:r w:rsidRPr="00CE73C0">
              <w:rPr>
                <w:rFonts w:asciiTheme="majorHAnsi" w:hAnsiTheme="majorHAnsi" w:cs="Calibri"/>
              </w:rPr>
              <w:t>Career &amp; Technical Education</w:t>
            </w:r>
          </w:p>
          <w:p w:rsidR="00D91E33" w:rsidRPr="00CE73C0" w:rsidRDefault="00D91E33" w:rsidP="002C5921">
            <w:pPr>
              <w:rPr>
                <w:rFonts w:asciiTheme="majorHAnsi" w:hAnsiTheme="majorHAnsi"/>
              </w:rPr>
            </w:pPr>
            <w:r w:rsidRPr="00CE73C0">
              <w:rPr>
                <w:rFonts w:asciiTheme="majorHAnsi" w:hAnsiTheme="majorHAnsi" w:cs="Calibri"/>
              </w:rPr>
              <w:t>Career &amp; Technical Education</w:t>
            </w:r>
          </w:p>
        </w:tc>
        <w:tc>
          <w:tcPr>
            <w:tcW w:w="992" w:type="dxa"/>
          </w:tcPr>
          <w:p w:rsidR="009E121F" w:rsidRDefault="009E121F" w:rsidP="002C5921">
            <w:pPr>
              <w:rPr>
                <w:rFonts w:asciiTheme="majorHAnsi" w:hAnsiTheme="majorHAnsi"/>
              </w:rPr>
            </w:pPr>
            <w:r>
              <w:rPr>
                <w:rFonts w:asciiTheme="majorHAnsi" w:hAnsiTheme="majorHAnsi"/>
              </w:rPr>
              <w:t>HD</w:t>
            </w:r>
          </w:p>
          <w:p w:rsidR="00D91E33" w:rsidRPr="00CE73C0" w:rsidRDefault="00D91E33" w:rsidP="002C5921">
            <w:pPr>
              <w:rPr>
                <w:rFonts w:asciiTheme="majorHAnsi" w:hAnsiTheme="majorHAnsi"/>
              </w:rPr>
            </w:pPr>
            <w:r w:rsidRPr="00CE73C0">
              <w:rPr>
                <w:rFonts w:asciiTheme="majorHAnsi" w:hAnsiTheme="majorHAnsi"/>
              </w:rPr>
              <w:t>RF</w:t>
            </w:r>
          </w:p>
        </w:tc>
        <w:tc>
          <w:tcPr>
            <w:tcW w:w="992" w:type="dxa"/>
          </w:tcPr>
          <w:p w:rsidR="009E121F" w:rsidRDefault="00D91E33" w:rsidP="002C5921">
            <w:pPr>
              <w:rPr>
                <w:rFonts w:asciiTheme="majorHAnsi" w:hAnsiTheme="majorHAnsi"/>
              </w:rPr>
            </w:pPr>
            <w:r w:rsidRPr="00CE73C0">
              <w:rPr>
                <w:rFonts w:asciiTheme="majorHAnsi" w:hAnsiTheme="majorHAnsi"/>
              </w:rPr>
              <w:t>X</w:t>
            </w:r>
          </w:p>
          <w:p w:rsidR="00D91E33" w:rsidRPr="00CE73C0" w:rsidRDefault="009E121F" w:rsidP="002C5921">
            <w:pPr>
              <w:rPr>
                <w:rFonts w:asciiTheme="majorHAnsi" w:hAnsiTheme="majorHAnsi"/>
              </w:rPr>
            </w:pPr>
            <w:r>
              <w:rPr>
                <w:rFonts w:asciiTheme="majorHAnsi" w:hAnsiTheme="majorHAnsi"/>
              </w:rPr>
              <w:t>X</w:t>
            </w:r>
          </w:p>
        </w:tc>
        <w:tc>
          <w:tcPr>
            <w:tcW w:w="900" w:type="dxa"/>
          </w:tcPr>
          <w:p w:rsidR="00D91E33" w:rsidRPr="00CE73C0" w:rsidRDefault="00D91E33" w:rsidP="002C5921">
            <w:pPr>
              <w:rPr>
                <w:rFonts w:asciiTheme="majorHAnsi" w:hAnsiTheme="majorHAnsi"/>
              </w:rPr>
            </w:pPr>
          </w:p>
        </w:tc>
      </w:tr>
      <w:tr w:rsidR="00CE5A64" w:rsidRPr="0016235A">
        <w:tc>
          <w:tcPr>
            <w:tcW w:w="2456" w:type="dxa"/>
          </w:tcPr>
          <w:p w:rsidR="00CE5A64" w:rsidRPr="00CE73C0" w:rsidRDefault="00CE5A64" w:rsidP="002C5921">
            <w:pPr>
              <w:widowControl w:val="0"/>
              <w:autoSpaceDE w:val="0"/>
              <w:autoSpaceDN w:val="0"/>
              <w:adjustRightInd w:val="0"/>
              <w:rPr>
                <w:rFonts w:asciiTheme="majorHAnsi" w:hAnsiTheme="majorHAnsi" w:cs="Calibri"/>
              </w:rPr>
            </w:pPr>
            <w:r>
              <w:rPr>
                <w:rFonts w:asciiTheme="majorHAnsi" w:hAnsiTheme="majorHAnsi" w:cs="Calibri"/>
              </w:rPr>
              <w:t>Gardner, Ty</w:t>
            </w:r>
          </w:p>
        </w:tc>
        <w:tc>
          <w:tcPr>
            <w:tcW w:w="3050" w:type="dxa"/>
          </w:tcPr>
          <w:p w:rsidR="00CE5A64" w:rsidRPr="00CE73C0" w:rsidRDefault="00CE5A64" w:rsidP="002C5921">
            <w:pPr>
              <w:rPr>
                <w:rFonts w:asciiTheme="majorHAnsi" w:hAnsiTheme="majorHAnsi" w:cs="Calibri"/>
              </w:rPr>
            </w:pPr>
            <w:r>
              <w:rPr>
                <w:rFonts w:asciiTheme="majorHAnsi" w:hAnsiTheme="majorHAnsi" w:cs="Calibri"/>
              </w:rPr>
              <w:t>Mathematics &amp; Sciences</w:t>
            </w:r>
          </w:p>
        </w:tc>
        <w:tc>
          <w:tcPr>
            <w:tcW w:w="992" w:type="dxa"/>
          </w:tcPr>
          <w:p w:rsidR="00CE5A64" w:rsidRPr="00CE73C0" w:rsidRDefault="00CE5A64" w:rsidP="002C5921">
            <w:pPr>
              <w:rPr>
                <w:rFonts w:asciiTheme="majorHAnsi" w:hAnsiTheme="majorHAnsi"/>
              </w:rPr>
            </w:pPr>
            <w:r>
              <w:rPr>
                <w:rFonts w:asciiTheme="majorHAnsi" w:hAnsiTheme="majorHAnsi"/>
              </w:rPr>
              <w:t>TG</w:t>
            </w:r>
          </w:p>
        </w:tc>
        <w:tc>
          <w:tcPr>
            <w:tcW w:w="992" w:type="dxa"/>
          </w:tcPr>
          <w:p w:rsidR="00CE5A64" w:rsidRPr="00CE73C0" w:rsidRDefault="00CE5A64" w:rsidP="002C5921">
            <w:pPr>
              <w:rPr>
                <w:rFonts w:asciiTheme="majorHAnsi" w:hAnsiTheme="majorHAnsi"/>
              </w:rPr>
            </w:pPr>
            <w:r>
              <w:rPr>
                <w:rFonts w:asciiTheme="majorHAnsi" w:hAnsiTheme="majorHAnsi"/>
              </w:rPr>
              <w:t>X</w:t>
            </w:r>
          </w:p>
        </w:tc>
        <w:tc>
          <w:tcPr>
            <w:tcW w:w="900" w:type="dxa"/>
          </w:tcPr>
          <w:p w:rsidR="00CE5A64" w:rsidRPr="00CE73C0" w:rsidRDefault="00CE5A64" w:rsidP="002C5921">
            <w:pPr>
              <w:rPr>
                <w:rFonts w:asciiTheme="majorHAnsi" w:hAnsiTheme="majorHAnsi"/>
              </w:rPr>
            </w:pPr>
          </w:p>
        </w:tc>
      </w:tr>
      <w:tr w:rsidR="00D91E33" w:rsidRPr="0016235A">
        <w:tc>
          <w:tcPr>
            <w:tcW w:w="2456" w:type="dxa"/>
          </w:tcPr>
          <w:p w:rsidR="00D91E33" w:rsidRPr="00CE73C0" w:rsidRDefault="00D91E33" w:rsidP="002C5921">
            <w:pPr>
              <w:widowControl w:val="0"/>
              <w:autoSpaceDE w:val="0"/>
              <w:autoSpaceDN w:val="0"/>
              <w:adjustRightInd w:val="0"/>
              <w:rPr>
                <w:rFonts w:asciiTheme="majorHAnsi" w:hAnsiTheme="majorHAnsi" w:cs="Calibri"/>
              </w:rPr>
            </w:pPr>
            <w:r w:rsidRPr="00CE73C0">
              <w:rPr>
                <w:rFonts w:asciiTheme="majorHAnsi" w:hAnsiTheme="majorHAnsi" w:cs="Calibri"/>
              </w:rPr>
              <w:t>Hendricks, Bill</w:t>
            </w:r>
          </w:p>
        </w:tc>
        <w:tc>
          <w:tcPr>
            <w:tcW w:w="3050" w:type="dxa"/>
          </w:tcPr>
          <w:p w:rsidR="00D91E33" w:rsidRPr="00CE73C0" w:rsidRDefault="00D91E33" w:rsidP="002C5921">
            <w:pPr>
              <w:rPr>
                <w:rFonts w:asciiTheme="majorHAnsi" w:hAnsiTheme="majorHAnsi"/>
              </w:rPr>
            </w:pPr>
            <w:r w:rsidRPr="00CE73C0">
              <w:rPr>
                <w:rFonts w:asciiTheme="majorHAnsi" w:hAnsiTheme="majorHAnsi"/>
              </w:rPr>
              <w:t>Social Sciences &amp; Humanities</w:t>
            </w:r>
          </w:p>
        </w:tc>
        <w:tc>
          <w:tcPr>
            <w:tcW w:w="992" w:type="dxa"/>
          </w:tcPr>
          <w:p w:rsidR="00D91E33" w:rsidRPr="00CE73C0" w:rsidRDefault="00D91E33" w:rsidP="002C5921">
            <w:pPr>
              <w:rPr>
                <w:rFonts w:asciiTheme="majorHAnsi" w:hAnsiTheme="majorHAnsi"/>
              </w:rPr>
            </w:pPr>
            <w:r w:rsidRPr="00CE73C0">
              <w:rPr>
                <w:rFonts w:asciiTheme="majorHAnsi" w:hAnsiTheme="majorHAnsi"/>
              </w:rPr>
              <w:t>BH</w:t>
            </w:r>
          </w:p>
        </w:tc>
        <w:tc>
          <w:tcPr>
            <w:tcW w:w="992" w:type="dxa"/>
          </w:tcPr>
          <w:p w:rsidR="00D91E33" w:rsidRPr="00CE73C0" w:rsidRDefault="00D91E33" w:rsidP="002C5921">
            <w:pPr>
              <w:rPr>
                <w:rFonts w:asciiTheme="majorHAnsi" w:hAnsiTheme="majorHAnsi"/>
              </w:rPr>
            </w:pPr>
          </w:p>
        </w:tc>
        <w:tc>
          <w:tcPr>
            <w:tcW w:w="900" w:type="dxa"/>
          </w:tcPr>
          <w:p w:rsidR="00D91E33" w:rsidRPr="00CE73C0" w:rsidRDefault="00CE5A64" w:rsidP="002C5921">
            <w:pPr>
              <w:rPr>
                <w:rFonts w:asciiTheme="majorHAnsi" w:hAnsiTheme="majorHAnsi"/>
              </w:rPr>
            </w:pPr>
            <w:r>
              <w:rPr>
                <w:rFonts w:asciiTheme="majorHAnsi" w:hAnsiTheme="majorHAnsi"/>
              </w:rPr>
              <w:t>X</w:t>
            </w:r>
          </w:p>
        </w:tc>
      </w:tr>
      <w:tr w:rsidR="00D91E33" w:rsidRPr="0016235A">
        <w:tc>
          <w:tcPr>
            <w:tcW w:w="2456" w:type="dxa"/>
          </w:tcPr>
          <w:p w:rsidR="00D91E33" w:rsidRPr="00CE73C0" w:rsidRDefault="00D91E33" w:rsidP="002C5921">
            <w:pPr>
              <w:widowControl w:val="0"/>
              <w:autoSpaceDE w:val="0"/>
              <w:autoSpaceDN w:val="0"/>
              <w:adjustRightInd w:val="0"/>
              <w:rPr>
                <w:rFonts w:asciiTheme="majorHAnsi" w:hAnsiTheme="majorHAnsi" w:cs="Calibri"/>
              </w:rPr>
            </w:pPr>
            <w:r w:rsidRPr="00CE73C0">
              <w:rPr>
                <w:rFonts w:asciiTheme="majorHAnsi" w:hAnsiTheme="majorHAnsi" w:cs="Calibri"/>
                <w:color w:val="000000"/>
              </w:rPr>
              <w:t>Horigan, Andrea</w:t>
            </w:r>
          </w:p>
        </w:tc>
        <w:tc>
          <w:tcPr>
            <w:tcW w:w="3050" w:type="dxa"/>
          </w:tcPr>
          <w:p w:rsidR="00D91E33" w:rsidRPr="00CE73C0" w:rsidRDefault="00D91E33" w:rsidP="002C5921">
            <w:pPr>
              <w:rPr>
                <w:rFonts w:asciiTheme="majorHAnsi" w:hAnsiTheme="majorHAnsi"/>
              </w:rPr>
            </w:pPr>
            <w:r w:rsidRPr="00CE73C0">
              <w:rPr>
                <w:rFonts w:asciiTheme="majorHAnsi" w:hAnsiTheme="majorHAnsi" w:cs="Calibri"/>
                <w:color w:val="000000"/>
              </w:rPr>
              <w:t>Social Sciences &amp; Humanities</w:t>
            </w:r>
          </w:p>
        </w:tc>
        <w:tc>
          <w:tcPr>
            <w:tcW w:w="992" w:type="dxa"/>
          </w:tcPr>
          <w:p w:rsidR="00D91E33" w:rsidRPr="00CE73C0" w:rsidRDefault="00D91E33" w:rsidP="002C5921">
            <w:pPr>
              <w:rPr>
                <w:rFonts w:asciiTheme="majorHAnsi" w:hAnsiTheme="majorHAnsi"/>
              </w:rPr>
            </w:pPr>
            <w:r w:rsidRPr="00CE73C0">
              <w:rPr>
                <w:rFonts w:asciiTheme="majorHAnsi" w:hAnsiTheme="majorHAnsi"/>
              </w:rPr>
              <w:t>AH</w:t>
            </w:r>
          </w:p>
        </w:tc>
        <w:tc>
          <w:tcPr>
            <w:tcW w:w="992" w:type="dxa"/>
          </w:tcPr>
          <w:p w:rsidR="00D91E33" w:rsidRPr="00CE73C0" w:rsidRDefault="00D91E33" w:rsidP="002C5921">
            <w:pPr>
              <w:rPr>
                <w:rFonts w:asciiTheme="majorHAnsi" w:hAnsiTheme="majorHAnsi"/>
              </w:rPr>
            </w:pPr>
          </w:p>
        </w:tc>
        <w:tc>
          <w:tcPr>
            <w:tcW w:w="900" w:type="dxa"/>
          </w:tcPr>
          <w:p w:rsidR="00D91E33" w:rsidRPr="00CE73C0" w:rsidRDefault="00CE73C0" w:rsidP="002C5921">
            <w:pPr>
              <w:rPr>
                <w:rFonts w:asciiTheme="majorHAnsi" w:hAnsiTheme="majorHAnsi"/>
              </w:rPr>
            </w:pPr>
            <w:r w:rsidRPr="00CE73C0">
              <w:rPr>
                <w:rFonts w:asciiTheme="majorHAnsi" w:hAnsiTheme="majorHAnsi"/>
              </w:rPr>
              <w:t>X</w:t>
            </w:r>
          </w:p>
        </w:tc>
      </w:tr>
      <w:tr w:rsidR="00D91E33" w:rsidRPr="0016235A">
        <w:tc>
          <w:tcPr>
            <w:tcW w:w="2456" w:type="dxa"/>
          </w:tcPr>
          <w:p w:rsidR="00D91E33" w:rsidRPr="00CE73C0" w:rsidRDefault="00D91E33" w:rsidP="002C5921">
            <w:pPr>
              <w:widowControl w:val="0"/>
              <w:autoSpaceDE w:val="0"/>
              <w:autoSpaceDN w:val="0"/>
              <w:adjustRightInd w:val="0"/>
              <w:rPr>
                <w:rFonts w:asciiTheme="majorHAnsi" w:hAnsiTheme="majorHAnsi" w:cs="Calibri"/>
              </w:rPr>
            </w:pPr>
            <w:r w:rsidRPr="00CE73C0">
              <w:rPr>
                <w:rFonts w:asciiTheme="majorHAnsi" w:hAnsiTheme="majorHAnsi" w:cs="Calibri"/>
              </w:rPr>
              <w:t>Kim, Henny</w:t>
            </w:r>
          </w:p>
        </w:tc>
        <w:tc>
          <w:tcPr>
            <w:tcW w:w="3050" w:type="dxa"/>
          </w:tcPr>
          <w:p w:rsidR="00D91E33" w:rsidRPr="00CE73C0" w:rsidRDefault="00D91E33" w:rsidP="002C5921">
            <w:pPr>
              <w:rPr>
                <w:rFonts w:asciiTheme="majorHAnsi" w:hAnsiTheme="majorHAnsi"/>
              </w:rPr>
            </w:pPr>
            <w:r w:rsidRPr="00CE73C0">
              <w:rPr>
                <w:rFonts w:asciiTheme="majorHAnsi" w:hAnsiTheme="majorHAnsi" w:cs="Calibri"/>
              </w:rPr>
              <w:t>English &amp; Learning Resources</w:t>
            </w:r>
          </w:p>
        </w:tc>
        <w:tc>
          <w:tcPr>
            <w:tcW w:w="992" w:type="dxa"/>
          </w:tcPr>
          <w:p w:rsidR="00D91E33" w:rsidRPr="00CE73C0" w:rsidRDefault="00D91E33" w:rsidP="002C5921">
            <w:pPr>
              <w:rPr>
                <w:rFonts w:asciiTheme="majorHAnsi" w:hAnsiTheme="majorHAnsi"/>
              </w:rPr>
            </w:pPr>
            <w:r w:rsidRPr="00CE73C0">
              <w:rPr>
                <w:rFonts w:asciiTheme="majorHAnsi" w:hAnsiTheme="majorHAnsi"/>
              </w:rPr>
              <w:t>HK</w:t>
            </w:r>
          </w:p>
        </w:tc>
        <w:tc>
          <w:tcPr>
            <w:tcW w:w="992" w:type="dxa"/>
          </w:tcPr>
          <w:p w:rsidR="00D91E33" w:rsidRPr="00CE73C0" w:rsidRDefault="00D91E33" w:rsidP="002C5921">
            <w:pPr>
              <w:rPr>
                <w:rFonts w:asciiTheme="majorHAnsi" w:hAnsiTheme="majorHAnsi"/>
              </w:rPr>
            </w:pPr>
            <w:r w:rsidRPr="00CE73C0">
              <w:rPr>
                <w:rFonts w:asciiTheme="majorHAnsi" w:hAnsiTheme="majorHAnsi"/>
              </w:rPr>
              <w:t>X</w:t>
            </w:r>
          </w:p>
        </w:tc>
        <w:tc>
          <w:tcPr>
            <w:tcW w:w="900" w:type="dxa"/>
          </w:tcPr>
          <w:p w:rsidR="00D91E33" w:rsidRPr="00CE73C0" w:rsidRDefault="00D91E33" w:rsidP="002C5921">
            <w:pPr>
              <w:rPr>
                <w:rFonts w:asciiTheme="majorHAnsi" w:hAnsiTheme="majorHAnsi"/>
              </w:rPr>
            </w:pPr>
          </w:p>
        </w:tc>
      </w:tr>
      <w:tr w:rsidR="00D91E33" w:rsidRPr="0016235A">
        <w:tc>
          <w:tcPr>
            <w:tcW w:w="2456" w:type="dxa"/>
          </w:tcPr>
          <w:p w:rsidR="00D91E33" w:rsidRPr="00CE73C0" w:rsidRDefault="00D91E33" w:rsidP="002C5921">
            <w:pPr>
              <w:widowControl w:val="0"/>
              <w:tabs>
                <w:tab w:val="left" w:pos="7160"/>
              </w:tabs>
              <w:autoSpaceDE w:val="0"/>
              <w:autoSpaceDN w:val="0"/>
              <w:adjustRightInd w:val="0"/>
              <w:rPr>
                <w:rFonts w:asciiTheme="majorHAnsi" w:hAnsiTheme="majorHAnsi" w:cs="Calibri"/>
              </w:rPr>
            </w:pPr>
            <w:r w:rsidRPr="00CE73C0">
              <w:rPr>
                <w:rFonts w:asciiTheme="majorHAnsi" w:hAnsiTheme="majorHAnsi" w:cs="Calibri"/>
              </w:rPr>
              <w:t>Kolesnik, Alex</w:t>
            </w:r>
          </w:p>
        </w:tc>
        <w:tc>
          <w:tcPr>
            <w:tcW w:w="3050" w:type="dxa"/>
          </w:tcPr>
          <w:p w:rsidR="00D91E33" w:rsidRPr="00CE73C0" w:rsidRDefault="00CE5A64" w:rsidP="002C5921">
            <w:pPr>
              <w:rPr>
                <w:rFonts w:asciiTheme="majorHAnsi" w:hAnsiTheme="majorHAnsi"/>
              </w:rPr>
            </w:pPr>
            <w:r>
              <w:rPr>
                <w:rFonts w:asciiTheme="majorHAnsi" w:hAnsiTheme="majorHAnsi" w:cs="Calibri"/>
              </w:rPr>
              <w:t>Senate President</w:t>
            </w:r>
          </w:p>
        </w:tc>
        <w:tc>
          <w:tcPr>
            <w:tcW w:w="992" w:type="dxa"/>
          </w:tcPr>
          <w:p w:rsidR="00D91E33" w:rsidRPr="00CE73C0" w:rsidRDefault="00D91E33" w:rsidP="002C5921">
            <w:pPr>
              <w:rPr>
                <w:rFonts w:asciiTheme="majorHAnsi" w:hAnsiTheme="majorHAnsi"/>
              </w:rPr>
            </w:pPr>
            <w:r w:rsidRPr="00CE73C0">
              <w:rPr>
                <w:rFonts w:asciiTheme="majorHAnsi" w:hAnsiTheme="majorHAnsi"/>
              </w:rPr>
              <w:t>AK</w:t>
            </w:r>
          </w:p>
        </w:tc>
        <w:tc>
          <w:tcPr>
            <w:tcW w:w="992" w:type="dxa"/>
          </w:tcPr>
          <w:p w:rsidR="00D91E33" w:rsidRPr="00CE73C0" w:rsidRDefault="00D91E33" w:rsidP="002C5921">
            <w:pPr>
              <w:rPr>
                <w:rFonts w:asciiTheme="majorHAnsi" w:hAnsiTheme="majorHAnsi"/>
              </w:rPr>
            </w:pPr>
            <w:r w:rsidRPr="00CE73C0">
              <w:rPr>
                <w:rFonts w:asciiTheme="majorHAnsi" w:hAnsiTheme="majorHAnsi"/>
              </w:rPr>
              <w:t>X</w:t>
            </w:r>
          </w:p>
        </w:tc>
        <w:tc>
          <w:tcPr>
            <w:tcW w:w="900" w:type="dxa"/>
          </w:tcPr>
          <w:p w:rsidR="00D91E33" w:rsidRPr="00CE73C0" w:rsidRDefault="00D91E33" w:rsidP="002C5921">
            <w:pPr>
              <w:rPr>
                <w:rFonts w:asciiTheme="majorHAnsi" w:hAnsiTheme="majorHAnsi"/>
              </w:rPr>
            </w:pPr>
          </w:p>
        </w:tc>
      </w:tr>
      <w:tr w:rsidR="00D91E33" w:rsidRPr="00D91E33">
        <w:tc>
          <w:tcPr>
            <w:tcW w:w="2456" w:type="dxa"/>
          </w:tcPr>
          <w:p w:rsidR="00D91E33" w:rsidRPr="00CE73C0" w:rsidRDefault="00D91E33" w:rsidP="00D91E33">
            <w:pPr>
              <w:widowControl w:val="0"/>
              <w:autoSpaceDE w:val="0"/>
              <w:autoSpaceDN w:val="0"/>
              <w:adjustRightInd w:val="0"/>
              <w:rPr>
                <w:rFonts w:asciiTheme="majorHAnsi" w:hAnsiTheme="majorHAnsi" w:cs="Calibri"/>
              </w:rPr>
            </w:pPr>
            <w:r w:rsidRPr="00CE73C0">
              <w:rPr>
                <w:rFonts w:asciiTheme="majorHAnsi" w:hAnsiTheme="majorHAnsi" w:cs="Calibri"/>
              </w:rPr>
              <w:t>Martin, Amanda</w:t>
            </w:r>
          </w:p>
        </w:tc>
        <w:tc>
          <w:tcPr>
            <w:tcW w:w="3050" w:type="dxa"/>
          </w:tcPr>
          <w:p w:rsidR="00D91E33" w:rsidRPr="00CE73C0" w:rsidRDefault="00D91E33" w:rsidP="00D91E33">
            <w:pPr>
              <w:rPr>
                <w:rFonts w:asciiTheme="majorHAnsi" w:hAnsiTheme="majorHAnsi"/>
              </w:rPr>
            </w:pPr>
            <w:r w:rsidRPr="00CE73C0">
              <w:rPr>
                <w:rFonts w:asciiTheme="majorHAnsi" w:hAnsiTheme="majorHAnsi" w:cs="Calibri"/>
              </w:rPr>
              <w:t>English &amp; Learning Resources</w:t>
            </w:r>
          </w:p>
        </w:tc>
        <w:tc>
          <w:tcPr>
            <w:tcW w:w="992" w:type="dxa"/>
          </w:tcPr>
          <w:p w:rsidR="00D91E33" w:rsidRPr="00CE73C0" w:rsidRDefault="00872D5A" w:rsidP="00D91E33">
            <w:pPr>
              <w:rPr>
                <w:rFonts w:asciiTheme="majorHAnsi" w:hAnsiTheme="majorHAnsi"/>
              </w:rPr>
            </w:pPr>
            <w:r>
              <w:rPr>
                <w:rFonts w:asciiTheme="majorHAnsi" w:hAnsiTheme="majorHAnsi"/>
              </w:rPr>
              <w:t>A</w:t>
            </w:r>
            <w:r w:rsidR="00D91E33" w:rsidRPr="00CE73C0">
              <w:rPr>
                <w:rFonts w:asciiTheme="majorHAnsi" w:hAnsiTheme="majorHAnsi"/>
              </w:rPr>
              <w:t>M</w:t>
            </w:r>
          </w:p>
        </w:tc>
        <w:tc>
          <w:tcPr>
            <w:tcW w:w="992" w:type="dxa"/>
          </w:tcPr>
          <w:p w:rsidR="00D91E33" w:rsidRPr="00CE73C0" w:rsidRDefault="00D91E33" w:rsidP="00D91E33">
            <w:pPr>
              <w:rPr>
                <w:rFonts w:asciiTheme="majorHAnsi" w:hAnsiTheme="majorHAnsi"/>
              </w:rPr>
            </w:pPr>
            <w:r w:rsidRPr="00CE73C0">
              <w:rPr>
                <w:rFonts w:asciiTheme="majorHAnsi" w:hAnsiTheme="majorHAnsi"/>
              </w:rPr>
              <w:t>X</w:t>
            </w:r>
          </w:p>
        </w:tc>
        <w:tc>
          <w:tcPr>
            <w:tcW w:w="900" w:type="dxa"/>
          </w:tcPr>
          <w:p w:rsidR="00D91E33" w:rsidRPr="00CE73C0" w:rsidRDefault="00D91E33" w:rsidP="00D91E33">
            <w:pPr>
              <w:rPr>
                <w:rFonts w:asciiTheme="majorHAnsi" w:hAnsiTheme="majorHAnsi"/>
              </w:rPr>
            </w:pPr>
          </w:p>
        </w:tc>
      </w:tr>
      <w:tr w:rsidR="00D91E33" w:rsidRPr="0016235A">
        <w:tc>
          <w:tcPr>
            <w:tcW w:w="2456" w:type="dxa"/>
          </w:tcPr>
          <w:p w:rsidR="00D91E33" w:rsidRPr="00CE73C0" w:rsidRDefault="00CE5A64" w:rsidP="002C5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rPr>
            </w:pPr>
            <w:r>
              <w:rPr>
                <w:rFonts w:asciiTheme="majorHAnsi" w:hAnsiTheme="majorHAnsi" w:cs="Calibri"/>
                <w:color w:val="000000"/>
              </w:rPr>
              <w:t>Morris, Terry</w:t>
            </w:r>
          </w:p>
        </w:tc>
        <w:tc>
          <w:tcPr>
            <w:tcW w:w="3050" w:type="dxa"/>
          </w:tcPr>
          <w:p w:rsidR="00D91E33" w:rsidRPr="00CE73C0" w:rsidRDefault="00D91E33" w:rsidP="002C5921">
            <w:pPr>
              <w:rPr>
                <w:rFonts w:asciiTheme="majorHAnsi" w:hAnsiTheme="majorHAnsi"/>
              </w:rPr>
            </w:pPr>
            <w:r w:rsidRPr="00CE73C0">
              <w:rPr>
                <w:rFonts w:asciiTheme="majorHAnsi" w:hAnsiTheme="majorHAnsi" w:cs="Calibri"/>
                <w:color w:val="000000"/>
              </w:rPr>
              <w:t>Athletics, Kinesiology &amp; Health</w:t>
            </w:r>
          </w:p>
        </w:tc>
        <w:tc>
          <w:tcPr>
            <w:tcW w:w="992" w:type="dxa"/>
          </w:tcPr>
          <w:p w:rsidR="00D91E33" w:rsidRPr="00CE73C0" w:rsidRDefault="00D91E33" w:rsidP="002C5921">
            <w:pPr>
              <w:rPr>
                <w:rFonts w:asciiTheme="majorHAnsi" w:hAnsiTheme="majorHAnsi"/>
              </w:rPr>
            </w:pPr>
            <w:r w:rsidRPr="00CE73C0">
              <w:rPr>
                <w:rFonts w:asciiTheme="majorHAnsi" w:hAnsiTheme="majorHAnsi"/>
              </w:rPr>
              <w:t>TM</w:t>
            </w:r>
          </w:p>
        </w:tc>
        <w:tc>
          <w:tcPr>
            <w:tcW w:w="992" w:type="dxa"/>
          </w:tcPr>
          <w:p w:rsidR="00D91E33" w:rsidRPr="00CE73C0" w:rsidRDefault="00D91E33" w:rsidP="002C5921">
            <w:pPr>
              <w:rPr>
                <w:rFonts w:asciiTheme="majorHAnsi" w:hAnsiTheme="majorHAnsi"/>
              </w:rPr>
            </w:pPr>
          </w:p>
        </w:tc>
        <w:tc>
          <w:tcPr>
            <w:tcW w:w="900" w:type="dxa"/>
          </w:tcPr>
          <w:p w:rsidR="00D91E33" w:rsidRPr="00CE73C0" w:rsidRDefault="00CE73C0" w:rsidP="002C5921">
            <w:pPr>
              <w:rPr>
                <w:rFonts w:asciiTheme="majorHAnsi" w:hAnsiTheme="majorHAnsi"/>
              </w:rPr>
            </w:pPr>
            <w:r w:rsidRPr="00CE73C0">
              <w:rPr>
                <w:rFonts w:asciiTheme="majorHAnsi" w:hAnsiTheme="majorHAnsi"/>
              </w:rPr>
              <w:t>X</w:t>
            </w:r>
          </w:p>
        </w:tc>
      </w:tr>
      <w:tr w:rsidR="00D91E33" w:rsidRPr="0016235A">
        <w:tc>
          <w:tcPr>
            <w:tcW w:w="2456" w:type="dxa"/>
          </w:tcPr>
          <w:p w:rsidR="00D91E33" w:rsidRPr="00CE73C0" w:rsidRDefault="00D91E33" w:rsidP="002C5921">
            <w:pPr>
              <w:rPr>
                <w:rFonts w:asciiTheme="majorHAnsi" w:hAnsiTheme="majorHAnsi" w:cs="Calibri"/>
              </w:rPr>
            </w:pPr>
            <w:r w:rsidRPr="00CE73C0">
              <w:rPr>
                <w:rFonts w:asciiTheme="majorHAnsi" w:hAnsiTheme="majorHAnsi" w:cs="Calibri"/>
              </w:rPr>
              <w:t>Mules, Ron</w:t>
            </w:r>
          </w:p>
        </w:tc>
        <w:tc>
          <w:tcPr>
            <w:tcW w:w="3050" w:type="dxa"/>
          </w:tcPr>
          <w:p w:rsidR="00D91E33" w:rsidRPr="00CE73C0" w:rsidRDefault="00D91E33" w:rsidP="002C5921">
            <w:pPr>
              <w:rPr>
                <w:rFonts w:asciiTheme="majorHAnsi" w:hAnsiTheme="majorHAnsi" w:cs="Calibri"/>
                <w:color w:val="000000"/>
              </w:rPr>
            </w:pPr>
            <w:r w:rsidRPr="00CE73C0">
              <w:rPr>
                <w:rFonts w:asciiTheme="majorHAnsi" w:hAnsiTheme="majorHAnsi" w:cs="Calibri"/>
                <w:color w:val="000000"/>
              </w:rPr>
              <w:t>Social Sciences &amp; Humanities</w:t>
            </w:r>
          </w:p>
        </w:tc>
        <w:tc>
          <w:tcPr>
            <w:tcW w:w="992" w:type="dxa"/>
          </w:tcPr>
          <w:p w:rsidR="00D91E33" w:rsidRPr="00CE73C0" w:rsidRDefault="00D91E33" w:rsidP="002C5921">
            <w:pPr>
              <w:rPr>
                <w:rFonts w:asciiTheme="majorHAnsi" w:hAnsiTheme="majorHAnsi"/>
              </w:rPr>
            </w:pPr>
            <w:r w:rsidRPr="00CE73C0">
              <w:rPr>
                <w:rFonts w:asciiTheme="majorHAnsi" w:hAnsiTheme="majorHAnsi"/>
              </w:rPr>
              <w:t>RM</w:t>
            </w:r>
          </w:p>
        </w:tc>
        <w:tc>
          <w:tcPr>
            <w:tcW w:w="992" w:type="dxa"/>
          </w:tcPr>
          <w:p w:rsidR="00D91E33" w:rsidRPr="00CE73C0" w:rsidRDefault="00D91E33" w:rsidP="002C5921">
            <w:pPr>
              <w:rPr>
                <w:rFonts w:asciiTheme="majorHAnsi" w:hAnsiTheme="majorHAnsi"/>
              </w:rPr>
            </w:pPr>
          </w:p>
        </w:tc>
        <w:tc>
          <w:tcPr>
            <w:tcW w:w="900" w:type="dxa"/>
          </w:tcPr>
          <w:p w:rsidR="00D91E33" w:rsidRPr="00CE73C0" w:rsidRDefault="002C5921" w:rsidP="002C5921">
            <w:pPr>
              <w:rPr>
                <w:rFonts w:asciiTheme="majorHAnsi" w:hAnsiTheme="majorHAnsi"/>
              </w:rPr>
            </w:pPr>
            <w:r w:rsidRPr="00CE73C0">
              <w:rPr>
                <w:rFonts w:asciiTheme="majorHAnsi" w:hAnsiTheme="majorHAnsi"/>
              </w:rPr>
              <w:t>X</w:t>
            </w:r>
          </w:p>
        </w:tc>
      </w:tr>
      <w:tr w:rsidR="00D91E33" w:rsidRPr="0016235A">
        <w:tc>
          <w:tcPr>
            <w:tcW w:w="2456" w:type="dxa"/>
          </w:tcPr>
          <w:p w:rsidR="00D91E33" w:rsidRPr="00CE73C0" w:rsidRDefault="00D91E33" w:rsidP="00D91E33">
            <w:pPr>
              <w:rPr>
                <w:rFonts w:asciiTheme="majorHAnsi" w:hAnsiTheme="majorHAnsi" w:cs="Calibri"/>
              </w:rPr>
            </w:pPr>
            <w:r w:rsidRPr="00CE73C0">
              <w:rPr>
                <w:rFonts w:asciiTheme="majorHAnsi" w:hAnsiTheme="majorHAnsi" w:cs="Calibri"/>
              </w:rPr>
              <w:t>Sezzi, Peter</w:t>
            </w:r>
          </w:p>
        </w:tc>
        <w:tc>
          <w:tcPr>
            <w:tcW w:w="3050" w:type="dxa"/>
          </w:tcPr>
          <w:p w:rsidR="00D91E33" w:rsidRPr="00CE73C0" w:rsidRDefault="00D91E33" w:rsidP="00D91E33">
            <w:pPr>
              <w:rPr>
                <w:rFonts w:asciiTheme="majorHAnsi" w:hAnsiTheme="majorHAnsi" w:cs="Calibri"/>
                <w:color w:val="000000"/>
              </w:rPr>
            </w:pPr>
            <w:r w:rsidRPr="00CE73C0">
              <w:rPr>
                <w:rFonts w:asciiTheme="majorHAnsi" w:hAnsiTheme="majorHAnsi" w:cs="Calibri"/>
                <w:color w:val="000000"/>
              </w:rPr>
              <w:t>Senate President</w:t>
            </w:r>
          </w:p>
        </w:tc>
        <w:tc>
          <w:tcPr>
            <w:tcW w:w="992" w:type="dxa"/>
          </w:tcPr>
          <w:p w:rsidR="00D91E33" w:rsidRPr="00CE73C0" w:rsidRDefault="00D91E33" w:rsidP="00D91E33">
            <w:pPr>
              <w:rPr>
                <w:rFonts w:asciiTheme="majorHAnsi" w:hAnsiTheme="majorHAnsi"/>
              </w:rPr>
            </w:pPr>
            <w:r w:rsidRPr="00CE73C0">
              <w:rPr>
                <w:rFonts w:asciiTheme="majorHAnsi" w:hAnsiTheme="majorHAnsi"/>
              </w:rPr>
              <w:t>PS</w:t>
            </w:r>
          </w:p>
        </w:tc>
        <w:tc>
          <w:tcPr>
            <w:tcW w:w="992" w:type="dxa"/>
          </w:tcPr>
          <w:p w:rsidR="00D91E33" w:rsidRPr="00CE73C0" w:rsidRDefault="00D91E33" w:rsidP="00D91E33">
            <w:pPr>
              <w:rPr>
                <w:rFonts w:asciiTheme="majorHAnsi" w:hAnsiTheme="majorHAnsi"/>
              </w:rPr>
            </w:pPr>
            <w:r w:rsidRPr="00CE73C0">
              <w:rPr>
                <w:rFonts w:asciiTheme="majorHAnsi" w:hAnsiTheme="majorHAnsi"/>
              </w:rPr>
              <w:t>X</w:t>
            </w:r>
          </w:p>
        </w:tc>
        <w:tc>
          <w:tcPr>
            <w:tcW w:w="900" w:type="dxa"/>
          </w:tcPr>
          <w:p w:rsidR="00D91E33" w:rsidRPr="00CE73C0" w:rsidRDefault="00D91E33" w:rsidP="00D91E33">
            <w:pPr>
              <w:rPr>
                <w:rFonts w:asciiTheme="majorHAnsi" w:hAnsiTheme="majorHAnsi"/>
              </w:rPr>
            </w:pPr>
          </w:p>
        </w:tc>
      </w:tr>
      <w:tr w:rsidR="00D91E33" w:rsidRPr="0016235A">
        <w:tc>
          <w:tcPr>
            <w:tcW w:w="2456" w:type="dxa"/>
          </w:tcPr>
          <w:p w:rsidR="00D91E33" w:rsidRPr="00CE73C0" w:rsidRDefault="00D91E33" w:rsidP="00D91E33">
            <w:pPr>
              <w:rPr>
                <w:rFonts w:asciiTheme="majorHAnsi" w:hAnsiTheme="majorHAnsi" w:cs="Calibri"/>
              </w:rPr>
            </w:pPr>
            <w:r w:rsidRPr="00CE73C0">
              <w:rPr>
                <w:rFonts w:asciiTheme="majorHAnsi" w:hAnsiTheme="majorHAnsi" w:cs="Calibri"/>
              </w:rPr>
              <w:t>Munoz</w:t>
            </w:r>
            <w:r w:rsidR="009E121F">
              <w:rPr>
                <w:rFonts w:asciiTheme="majorHAnsi" w:hAnsiTheme="majorHAnsi" w:cs="Calibri"/>
              </w:rPr>
              <w:t>, Paula</w:t>
            </w:r>
          </w:p>
        </w:tc>
        <w:tc>
          <w:tcPr>
            <w:tcW w:w="3050" w:type="dxa"/>
          </w:tcPr>
          <w:p w:rsidR="00D91E33" w:rsidRPr="00CE73C0" w:rsidRDefault="00D91E33" w:rsidP="00D91E33">
            <w:pPr>
              <w:rPr>
                <w:rFonts w:asciiTheme="majorHAnsi" w:hAnsiTheme="majorHAnsi" w:cs="Calibri"/>
                <w:color w:val="000000"/>
              </w:rPr>
            </w:pPr>
            <w:r w:rsidRPr="00CE73C0">
              <w:rPr>
                <w:rFonts w:asciiTheme="majorHAnsi" w:hAnsiTheme="majorHAnsi" w:cs="Calibri"/>
                <w:color w:val="000000"/>
              </w:rPr>
              <w:t>Student Services</w:t>
            </w:r>
          </w:p>
        </w:tc>
        <w:tc>
          <w:tcPr>
            <w:tcW w:w="992" w:type="dxa"/>
          </w:tcPr>
          <w:p w:rsidR="00D91E33" w:rsidRPr="00CE73C0" w:rsidRDefault="00D91E33" w:rsidP="00D91E33">
            <w:pPr>
              <w:rPr>
                <w:rFonts w:asciiTheme="majorHAnsi" w:hAnsiTheme="majorHAnsi"/>
              </w:rPr>
            </w:pPr>
            <w:r w:rsidRPr="00CE73C0">
              <w:rPr>
                <w:rFonts w:asciiTheme="majorHAnsi" w:hAnsiTheme="majorHAnsi"/>
              </w:rPr>
              <w:t>PM</w:t>
            </w:r>
          </w:p>
        </w:tc>
        <w:tc>
          <w:tcPr>
            <w:tcW w:w="992" w:type="dxa"/>
          </w:tcPr>
          <w:p w:rsidR="00D91E33" w:rsidRPr="00CE73C0" w:rsidRDefault="00D91E33" w:rsidP="00D91E33">
            <w:pPr>
              <w:rPr>
                <w:rFonts w:asciiTheme="majorHAnsi" w:hAnsiTheme="majorHAnsi"/>
              </w:rPr>
            </w:pPr>
            <w:r w:rsidRPr="00CE73C0">
              <w:rPr>
                <w:rFonts w:asciiTheme="majorHAnsi" w:hAnsiTheme="majorHAnsi"/>
              </w:rPr>
              <w:t>X</w:t>
            </w:r>
          </w:p>
        </w:tc>
        <w:tc>
          <w:tcPr>
            <w:tcW w:w="900" w:type="dxa"/>
          </w:tcPr>
          <w:p w:rsidR="00D91E33" w:rsidRPr="00CE73C0" w:rsidRDefault="00D91E33" w:rsidP="00D91E33">
            <w:pPr>
              <w:rPr>
                <w:rFonts w:asciiTheme="majorHAnsi" w:hAnsiTheme="majorHAnsi"/>
              </w:rPr>
            </w:pPr>
          </w:p>
        </w:tc>
      </w:tr>
    </w:tbl>
    <w:p w:rsidR="00EA618D" w:rsidRDefault="00EA618D"/>
    <w:p w:rsidR="00D91E33" w:rsidRDefault="00D91E33"/>
    <w:p w:rsidR="00D91E33" w:rsidRDefault="00D91E33"/>
    <w:p w:rsidR="00D91E33" w:rsidRDefault="00D91E33"/>
    <w:p w:rsidR="00D91E33" w:rsidRDefault="00D91E33"/>
    <w:p w:rsidR="00D91E33" w:rsidRDefault="00D91E33"/>
    <w:p w:rsidR="00D91E33" w:rsidRDefault="00D91E33"/>
    <w:p w:rsidR="00D91E33" w:rsidRDefault="00D91E33"/>
    <w:p w:rsidR="00D91E33" w:rsidRDefault="00D91E33"/>
    <w:p w:rsidR="00D91E33" w:rsidRDefault="00D91E33"/>
    <w:p w:rsidR="00D91E33" w:rsidRDefault="00D91E33"/>
    <w:p w:rsidR="00D91E33" w:rsidRDefault="00D91E33"/>
    <w:p w:rsidR="00D91E33" w:rsidRDefault="00D91E33"/>
    <w:p w:rsidR="00D91E33" w:rsidRDefault="00D91E33"/>
    <w:p w:rsidR="00D91E33" w:rsidRDefault="00D91E33"/>
    <w:p w:rsidR="00D91E33" w:rsidRDefault="00D91E33"/>
    <w:p w:rsidR="00D91E33" w:rsidRDefault="00D91E33"/>
    <w:p w:rsidR="00D91E33" w:rsidRDefault="00D91E33"/>
    <w:p w:rsidR="00D91E33" w:rsidRDefault="00D91E33"/>
    <w:p w:rsidR="00D91E33" w:rsidRDefault="00CE5A64" w:rsidP="00561B25">
      <w:r>
        <w:t>Guests: Michael Bowen, Adam Kaminsky (P/T fac</w:t>
      </w:r>
      <w:r w:rsidR="00561B25">
        <w:t>ulty</w:t>
      </w:r>
      <w:r>
        <w:t xml:space="preserve"> member)</w:t>
      </w:r>
    </w:p>
    <w:p w:rsidR="00EA618D" w:rsidRDefault="00EA618D"/>
    <w:p w:rsidR="00561B25" w:rsidRDefault="003B6741">
      <w:pPr>
        <w:rPr>
          <w:b/>
        </w:rPr>
      </w:pPr>
      <w:r w:rsidRPr="00872D5A">
        <w:rPr>
          <w:b/>
        </w:rPr>
        <w:t xml:space="preserve">II.  </w:t>
      </w:r>
      <w:r w:rsidR="00EA618D" w:rsidRPr="00872D5A">
        <w:rPr>
          <w:b/>
        </w:rPr>
        <w:t>Public comments:</w:t>
      </w:r>
      <w:r w:rsidR="00872D5A" w:rsidRPr="00872D5A">
        <w:rPr>
          <w:b/>
        </w:rPr>
        <w:t xml:space="preserve">  </w:t>
      </w:r>
    </w:p>
    <w:p w:rsidR="00EA618D" w:rsidRDefault="00CE5A64" w:rsidP="00561B25">
      <w:pPr>
        <w:ind w:left="360"/>
      </w:pPr>
      <w:r>
        <w:t>PHS mentioned that the next BOT meeting is this coming Tuesday, April 12 at 5pm. Please attend if your schedule so permits.</w:t>
      </w:r>
    </w:p>
    <w:p w:rsidR="00EA618D" w:rsidRDefault="00EA618D"/>
    <w:p w:rsidR="007E784E" w:rsidRDefault="003B6741" w:rsidP="009C5ECD">
      <w:pPr>
        <w:ind w:left="360" w:hanging="360"/>
      </w:pPr>
      <w:r w:rsidRPr="00872D5A">
        <w:rPr>
          <w:b/>
        </w:rPr>
        <w:t xml:space="preserve">III.  </w:t>
      </w:r>
      <w:r w:rsidR="00EA618D" w:rsidRPr="00872D5A">
        <w:rPr>
          <w:b/>
        </w:rPr>
        <w:t xml:space="preserve">Guests: </w:t>
      </w:r>
      <w:r w:rsidR="00CE5A64">
        <w:t>Adam Kaminsky</w:t>
      </w:r>
      <w:r w:rsidR="007E784E">
        <w:t>, Michael Bowen and John Reynolds all ack</w:t>
      </w:r>
      <w:r w:rsidR="00561B25">
        <w:t>n</w:t>
      </w:r>
      <w:r w:rsidR="007E784E">
        <w:t>owl</w:t>
      </w:r>
      <w:r w:rsidR="00561B25">
        <w:t>e</w:t>
      </w:r>
      <w:r w:rsidR="007E784E">
        <w:t>dged.</w:t>
      </w:r>
    </w:p>
    <w:p w:rsidR="00CE5A64" w:rsidRDefault="00CE5A64" w:rsidP="009C5ECD">
      <w:pPr>
        <w:ind w:left="360" w:hanging="360"/>
      </w:pPr>
    </w:p>
    <w:p w:rsidR="00EA618D" w:rsidRPr="00CE5A64" w:rsidRDefault="00CE5A64" w:rsidP="00561B25">
      <w:pPr>
        <w:ind w:left="360"/>
      </w:pPr>
      <w:r>
        <w:t xml:space="preserve">Bowen provided a curricular update report – almost 300 courses and 26 programs created/revised/updated, including several ADTs approved or in the pipeline for offering in Fall 2017. The SLO project is completed. Every course that is active has SLOs. Still a Tech Review backlog. In initial stages of streamlining </w:t>
      </w:r>
      <w:r w:rsidR="00561B25">
        <w:t>the DE approv</w:t>
      </w:r>
      <w:r>
        <w:t>al process. Forde asked about Canv</w:t>
      </w:r>
      <w:r w:rsidR="00561B25">
        <w:t>as status. Kolesnik noted that w</w:t>
      </w:r>
      <w:r>
        <w:t>e are entering into Can</w:t>
      </w:r>
      <w:r w:rsidR="00561B25">
        <w:t>vas contract at this upcoming BO</w:t>
      </w:r>
      <w:r>
        <w:t xml:space="preserve">T meeting. </w:t>
      </w:r>
    </w:p>
    <w:p w:rsidR="00EA618D" w:rsidRDefault="00EA618D"/>
    <w:p w:rsidR="00561B25" w:rsidRDefault="00561B25" w:rsidP="005E096E">
      <w:pPr>
        <w:ind w:left="360" w:hanging="360"/>
        <w:rPr>
          <w:b/>
        </w:rPr>
      </w:pPr>
      <w:r>
        <w:rPr>
          <w:b/>
        </w:rPr>
        <w:t xml:space="preserve">IV.  Action Items: </w:t>
      </w:r>
    </w:p>
    <w:p w:rsidR="00561B25" w:rsidRDefault="00561B25" w:rsidP="00561B25">
      <w:pPr>
        <w:ind w:left="360"/>
        <w:rPr>
          <w:b/>
        </w:rPr>
      </w:pPr>
      <w:r>
        <w:rPr>
          <w:b/>
        </w:rPr>
        <w:t xml:space="preserve">a.  </w:t>
      </w:r>
      <w:r w:rsidR="00EA618D" w:rsidRPr="00872D5A">
        <w:rPr>
          <w:b/>
        </w:rPr>
        <w:t>Approval of minutes</w:t>
      </w:r>
      <w:r>
        <w:rPr>
          <w:b/>
        </w:rPr>
        <w:t xml:space="preserve">: </w:t>
      </w:r>
      <w:r w:rsidR="00CE5A64">
        <w:t>Given Coffey</w:t>
      </w:r>
      <w:r w:rsidR="005E096E">
        <w:t>’s absence, Kolesnik recommended that we delay voting on the minutes until the next meeting.</w:t>
      </w:r>
      <w:r w:rsidR="00B92A79">
        <w:t xml:space="preserve"> Consent granted by those present.</w:t>
      </w:r>
    </w:p>
    <w:p w:rsidR="00561B25" w:rsidRDefault="00561B25" w:rsidP="00561B25">
      <w:pPr>
        <w:ind w:left="360"/>
        <w:rPr>
          <w:b/>
        </w:rPr>
      </w:pPr>
    </w:p>
    <w:p w:rsidR="005E096E" w:rsidRPr="00561B25" w:rsidRDefault="005E096E" w:rsidP="00561B25">
      <w:pPr>
        <w:ind w:left="360"/>
        <w:rPr>
          <w:b/>
        </w:rPr>
      </w:pPr>
      <w:r w:rsidRPr="005E096E">
        <w:rPr>
          <w:b/>
        </w:rPr>
        <w:lastRenderedPageBreak/>
        <w:t>b.</w:t>
      </w:r>
      <w:r>
        <w:t xml:space="preserve"> </w:t>
      </w:r>
      <w:r w:rsidRPr="005E096E">
        <w:rPr>
          <w:b/>
        </w:rPr>
        <w:t>EEO/Diversity in Hiring Resolution.</w:t>
      </w:r>
      <w:r>
        <w:t xml:space="preserve"> Munoz moved</w:t>
      </w:r>
      <w:r w:rsidR="00B92A79">
        <w:t xml:space="preserve"> as a first and second reading</w:t>
      </w:r>
      <w:r>
        <w:t>, Forde seconded. Approved unanimously. Alex will send to President, read to Board during public comments at open session. Alex given direction to fix minor typos</w:t>
      </w:r>
      <w:r w:rsidR="00B92A79">
        <w:t xml:space="preserve"> in this resolution</w:t>
      </w:r>
      <w:r>
        <w:t xml:space="preserve">, etc. </w:t>
      </w:r>
    </w:p>
    <w:p w:rsidR="00A32239" w:rsidRPr="005E096E" w:rsidRDefault="00A32239" w:rsidP="005E096E">
      <w:pPr>
        <w:ind w:left="360" w:hanging="360"/>
        <w:rPr>
          <w:b/>
        </w:rPr>
      </w:pPr>
    </w:p>
    <w:p w:rsidR="009E121F" w:rsidRDefault="005E096E" w:rsidP="00561B25">
      <w:pPr>
        <w:ind w:left="360"/>
      </w:pPr>
      <w:r>
        <w:rPr>
          <w:b/>
        </w:rPr>
        <w:t>c. Open Educational Resources Resolution</w:t>
      </w:r>
      <w:r w:rsidR="009E121F">
        <w:t xml:space="preserve">. With regards to </w:t>
      </w:r>
      <w:r>
        <w:t xml:space="preserve">even </w:t>
      </w:r>
      <w:r w:rsidR="009E121F">
        <w:t xml:space="preserve">being </w:t>
      </w:r>
      <w:r>
        <w:t xml:space="preserve">eligible for funds from AB 798, we need to adopt this resolution. Forde moves, Dalton seconds. We will have future opportunities to discuss if </w:t>
      </w:r>
      <w:r w:rsidR="009E121F">
        <w:t>we want to explore the concept of open educational resources (OER)</w:t>
      </w:r>
      <w:r>
        <w:t xml:space="preserve"> </w:t>
      </w:r>
      <w:r w:rsidR="009E121F">
        <w:t>given that the deadline to apply for the grant attached to this resolution we still until June 30, 2016</w:t>
      </w:r>
      <w:r>
        <w:t xml:space="preserve">. Bowen mentioned that ENG V01A was denied IGETC because it didn’t include a literature component. Kolesnik gave an example of how could you proceed with a zero cost textbook degree would be tricky. This resolution solely would allow us to explore the </w:t>
      </w:r>
      <w:r w:rsidR="009E121F">
        <w:t>use of OERs where feasible while also allowing us to pursue possible grant funds attached to this legislation but we are not allowed to apply for this grant unless we adopt this resolution. Motion passed unanimously.</w:t>
      </w:r>
    </w:p>
    <w:p w:rsidR="009E121F" w:rsidRDefault="009E121F" w:rsidP="00EA618D"/>
    <w:p w:rsidR="00EE5922" w:rsidRDefault="009E121F" w:rsidP="00561B25">
      <w:pPr>
        <w:ind w:left="360"/>
      </w:pPr>
      <w:r>
        <w:rPr>
          <w:b/>
        </w:rPr>
        <w:t xml:space="preserve">d. IEPI Goals. </w:t>
      </w:r>
      <w:r>
        <w:t>Kolesnik mentioned that we were not in favor of adopting all goals in IEPI while the other two Senates are in favor of adopting goals for all 20 measures. AK said this was discussed at CPC two weeks ago. Probably should have come here fir</w:t>
      </w:r>
      <w:r w:rsidR="00B92A79">
        <w:t xml:space="preserve">st. We set goal for this </w:t>
      </w:r>
      <w:r>
        <w:t>successful course completion last year</w:t>
      </w:r>
      <w:r w:rsidR="00B92A79">
        <w:t xml:space="preserve"> for 71.5% for Fall 2015 and we achieved 72.3% for Fall 2015. The 5 year avg for VC was 71.8% and the 11 year VC avg was 68.7%.  (Successful course completion = grade notation of A,B,C). Multivariate reasons for why we have incrementally increased our successful course completion rate. </w:t>
      </w:r>
      <w:r w:rsidR="00B87019">
        <w:t>Kolesnik reminded us t</w:t>
      </w:r>
      <w:r w:rsidR="00561B25">
        <w:t>hat we need to set both a short-</w:t>
      </w:r>
      <w:r w:rsidR="00B87019">
        <w:t>term goal for Fall 2016 and an aspirational goal (6 year goal). Gardner moved 73% for Fall 20</w:t>
      </w:r>
      <w:r w:rsidR="00561B25">
        <w:t>15 and 75% for 6-</w:t>
      </w:r>
      <w:r w:rsidR="00B87019">
        <w:t xml:space="preserve">year goal. </w:t>
      </w:r>
      <w:r w:rsidR="00EE5922">
        <w:t xml:space="preserve">Munoz seconded. </w:t>
      </w:r>
      <w:r w:rsidR="00B87019">
        <w:t xml:space="preserve">Forde mentioned that it is a bit </w:t>
      </w:r>
      <w:r w:rsidR="00561B25">
        <w:t>“</w:t>
      </w:r>
      <w:r w:rsidR="00B87019">
        <w:t>nutso</w:t>
      </w:r>
      <w:r w:rsidR="00561B25">
        <w:t>”</w:t>
      </w:r>
      <w:r w:rsidR="00B87019">
        <w:t xml:space="preserve"> to </w:t>
      </w:r>
      <w:r w:rsidR="00EE5922">
        <w:t>set goals if we don’t know the variables that actually lead to the upward trend that we have been experiencing. Kolesnik mentioned that this is like economic forecasting – it is like a stab in the dark – but we need to do better than we have in the past. Gardner noted that making this a concept that all faculty know of then we can go a</w:t>
      </w:r>
      <w:r w:rsidR="00561B25">
        <w:t xml:space="preserve"> long </w:t>
      </w:r>
      <w:r w:rsidR="00EE5922">
        <w:t xml:space="preserve">ways to making faculty more aware of these goals. Kaminsky </w:t>
      </w:r>
      <w:r w:rsidR="00EE5922">
        <w:lastRenderedPageBreak/>
        <w:t>mentioned the success rate gap between on ground and DE courses can lead to this going the wrong way. Kolesnik mentioned how in the past few years we have narrowed the gap between on-ground and DE course success rates. We need to have college-wide discussion and buy-in about these goals. Need to make this discussion about course success rate as integral as SLOs – let</w:t>
      </w:r>
      <w:r w:rsidR="00561B25">
        <w:t>’</w:t>
      </w:r>
      <w:r w:rsidR="00EE5922">
        <w:t>s encourage all faculty to discuss and embrace this discussion at the start of each term.</w:t>
      </w:r>
      <w:r w:rsidR="00561B25">
        <w:t xml:space="preserve">  </w:t>
      </w:r>
      <w:r w:rsidR="00EE5922">
        <w:t xml:space="preserve">Motion passed unanimously. </w:t>
      </w:r>
    </w:p>
    <w:p w:rsidR="00561B25" w:rsidRDefault="00561B25" w:rsidP="00EA618D"/>
    <w:p w:rsidR="00EF6235" w:rsidRDefault="00EE5922" w:rsidP="00561B25">
      <w:pPr>
        <w:ind w:left="360"/>
      </w:pPr>
      <w:r>
        <w:t>Second goal. 6-year completion rate for un</w:t>
      </w:r>
      <w:r w:rsidR="00A27034">
        <w:t>der</w:t>
      </w:r>
      <w:r>
        <w:t xml:space="preserve">prepared students. Kolesnik mentioned that method in which this metric is calculated. VC’s average is 42.1%, statewide average is 40.5%. This year we need to establish a goal for this metric in addition to the Successful Course Completion rate (which we had to solely pick last year). We need to establish both one-year and five-year goals. We have minimal impact on the one-year goal as this cohort was established five-years ago. Any degree, any certificate or transfer is calculated </w:t>
      </w:r>
      <w:r w:rsidR="00A27034">
        <w:t>who also take a Math or English class within their first three years</w:t>
      </w:r>
      <w:r w:rsidR="00561B25">
        <w:t>. Sezzi moves a 41% short -</w:t>
      </w:r>
      <w:r w:rsidR="00A27034">
        <w:t>erm, 50% long-term goals for 6-year completion rare for underprepared students. Forde seconds. Munoz asked what are the conse</w:t>
      </w:r>
      <w:r w:rsidR="00561B25">
        <w:t>quences</w:t>
      </w:r>
      <w:r w:rsidR="00A27034">
        <w:t xml:space="preserve"> if we don’t achieve these goals. Kolesnik mentioned that these should be discussions that the campus has to move the needle. The success rates are high across the campus but in certain disciplines – in particular Math – we need to address these issues ourselves. We owe it to our students to maintain academic integrity and help our students achieve the goals that they want for themselves. </w:t>
      </w:r>
      <w:r w:rsidR="00EF6235">
        <w:t xml:space="preserve">Munoz proposes 55% as the long-term goal. Friendly amendment accepted by Sezzi and Forde. Motion passes unanimously. </w:t>
      </w:r>
    </w:p>
    <w:p w:rsidR="00EF6235" w:rsidRDefault="00EF6235" w:rsidP="00EA618D"/>
    <w:p w:rsidR="00EF6235" w:rsidRDefault="00EF6235" w:rsidP="00EA618D">
      <w:pPr>
        <w:rPr>
          <w:b/>
        </w:rPr>
      </w:pPr>
      <w:r>
        <w:rPr>
          <w:b/>
        </w:rPr>
        <w:t>VI. Discussion Items</w:t>
      </w:r>
    </w:p>
    <w:p w:rsidR="00B0623A" w:rsidRDefault="00EF6235" w:rsidP="00561B25">
      <w:pPr>
        <w:pStyle w:val="ListParagraph"/>
        <w:numPr>
          <w:ilvl w:val="0"/>
          <w:numId w:val="4"/>
        </w:numPr>
        <w:ind w:left="360"/>
      </w:pPr>
      <w:r w:rsidRPr="00B0623A">
        <w:rPr>
          <w:b/>
        </w:rPr>
        <w:t>Discussion of Standard III</w:t>
      </w:r>
      <w:r>
        <w:t>. Gardner mentioned that there may be errors in III.A.</w:t>
      </w:r>
      <w:r w:rsidR="00B0623A">
        <w:t>12. and III.A.3. and III.A.10 and that there may be p</w:t>
      </w:r>
      <w:r>
        <w:t>ossible errors in recent managerial assignments relative to reorganization</w:t>
      </w:r>
      <w:r w:rsidR="00B0623A">
        <w:t xml:space="preserve"> and these particular standards</w:t>
      </w:r>
      <w:r>
        <w:t xml:space="preserve">. Kolesnik showed how to use the Argos Diversity Dashboard data found in the portal. </w:t>
      </w:r>
      <w:r w:rsidR="00B0623A">
        <w:t xml:space="preserve">Kolesnik encouraged faculty to submit specific </w:t>
      </w:r>
      <w:r w:rsidR="00B0623A">
        <w:lastRenderedPageBreak/>
        <w:t xml:space="preserve">comments to the website. He also mentioned that there is plenty of time to make comments. Discussion ensued with regards to other specific requirements and data in this draft report. </w:t>
      </w:r>
    </w:p>
    <w:p w:rsidR="00B0623A" w:rsidRDefault="00B0623A" w:rsidP="00561B25">
      <w:pPr>
        <w:pStyle w:val="ListParagraph"/>
        <w:ind w:left="360"/>
      </w:pPr>
      <w:r>
        <w:t xml:space="preserve">Kolesnik mentioned briefly changes afoot with our regional accreditator and </w:t>
      </w:r>
      <w:r w:rsidR="00561B25">
        <w:t>how the chief executives recentl</w:t>
      </w:r>
      <w:r>
        <w:t>y overwhelmingly voted to move away from ACCJC to another possible regional accreditator.</w:t>
      </w:r>
    </w:p>
    <w:p w:rsidR="00B0623A" w:rsidRDefault="00B0623A" w:rsidP="00B0623A">
      <w:pPr>
        <w:pStyle w:val="ListParagraph"/>
      </w:pPr>
    </w:p>
    <w:p w:rsidR="00B0623A" w:rsidRPr="00561B25" w:rsidRDefault="00B0623A" w:rsidP="00561B25">
      <w:pPr>
        <w:ind w:left="360" w:hanging="360"/>
        <w:rPr>
          <w:b/>
        </w:rPr>
      </w:pPr>
      <w:r w:rsidRPr="00561B25">
        <w:rPr>
          <w:b/>
        </w:rPr>
        <w:t>b. Division Reorganztion.</w:t>
      </w:r>
    </w:p>
    <w:p w:rsidR="00B0623A" w:rsidRDefault="00B0623A" w:rsidP="00561B25">
      <w:pPr>
        <w:ind w:left="360"/>
      </w:pPr>
      <w:r>
        <w:t xml:space="preserve">Gillespie </w:t>
      </w:r>
      <w:r w:rsidR="007E784E">
        <w:t>listened to our resolution. Back to 5 academic deans. Listened to many of the campus concerns but also recognized the constraints given the situation.</w:t>
      </w:r>
    </w:p>
    <w:p w:rsidR="00B0623A" w:rsidRDefault="00B0623A" w:rsidP="00B0623A">
      <w:pPr>
        <w:pStyle w:val="ListParagraph"/>
      </w:pPr>
    </w:p>
    <w:p w:rsidR="00B0623A" w:rsidRPr="00561B25" w:rsidRDefault="00B0623A" w:rsidP="00561B25">
      <w:pPr>
        <w:rPr>
          <w:b/>
        </w:rPr>
      </w:pPr>
      <w:r w:rsidRPr="00561B25">
        <w:rPr>
          <w:b/>
        </w:rPr>
        <w:t>c. Senate Awards.</w:t>
      </w:r>
    </w:p>
    <w:p w:rsidR="00B0623A" w:rsidRDefault="00B0623A" w:rsidP="00561B25">
      <w:pPr>
        <w:ind w:left="360"/>
      </w:pPr>
      <w:r>
        <w:t>Kolesnik mentioned that the announcement for graduation mace bearer will be coming out shortly and also that the nomination for the four Senate awards are also out.</w:t>
      </w:r>
    </w:p>
    <w:p w:rsidR="007E784E" w:rsidRDefault="007E784E" w:rsidP="00B0623A">
      <w:pPr>
        <w:pStyle w:val="ListParagraph"/>
      </w:pPr>
    </w:p>
    <w:p w:rsidR="00EA618D" w:rsidRPr="00B0623A" w:rsidRDefault="007E784E" w:rsidP="00561B25">
      <w:r w:rsidRPr="00561B25">
        <w:rPr>
          <w:b/>
        </w:rPr>
        <w:t>XIII. Adjournment</w:t>
      </w:r>
      <w:r>
        <w:t xml:space="preserve"> at 3:30pm.</w:t>
      </w:r>
    </w:p>
    <w:sectPr w:rsidR="00EA618D" w:rsidRPr="00B0623A" w:rsidSect="00EA618D">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9A" w:rsidRDefault="005C759A">
      <w:r>
        <w:separator/>
      </w:r>
    </w:p>
  </w:endnote>
  <w:endnote w:type="continuationSeparator" w:id="0">
    <w:p w:rsidR="005C759A" w:rsidRDefault="005C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9A" w:rsidRDefault="005C759A">
      <w:r>
        <w:separator/>
      </w:r>
    </w:p>
  </w:footnote>
  <w:footnote w:type="continuationSeparator" w:id="0">
    <w:p w:rsidR="005C759A" w:rsidRDefault="005C7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33" w:rsidRDefault="005C75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black" stroked="f">
          <v:fill opacity="31457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33" w:rsidRDefault="005C75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black" stroked="f">
          <v:fill opacity="31457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33" w:rsidRDefault="005C75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black" stroked="f">
          <v:fill opacity="31457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C59AE"/>
    <w:multiLevelType w:val="hybridMultilevel"/>
    <w:tmpl w:val="DC400864"/>
    <w:lvl w:ilvl="0" w:tplc="5A84D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E59B0"/>
    <w:multiLevelType w:val="hybridMultilevel"/>
    <w:tmpl w:val="EC68E294"/>
    <w:lvl w:ilvl="0" w:tplc="0ED2FD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D658A"/>
    <w:multiLevelType w:val="hybridMultilevel"/>
    <w:tmpl w:val="6D34BC00"/>
    <w:lvl w:ilvl="0" w:tplc="5A84D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0A483B"/>
    <w:multiLevelType w:val="hybridMultilevel"/>
    <w:tmpl w:val="45125892"/>
    <w:lvl w:ilvl="0" w:tplc="5A84D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977D0"/>
    <w:rsid w:val="00021B46"/>
    <w:rsid w:val="000F6BD4"/>
    <w:rsid w:val="001270DD"/>
    <w:rsid w:val="001D6733"/>
    <w:rsid w:val="00221F8A"/>
    <w:rsid w:val="00272590"/>
    <w:rsid w:val="002C5921"/>
    <w:rsid w:val="003B6741"/>
    <w:rsid w:val="003B6C68"/>
    <w:rsid w:val="003E25D5"/>
    <w:rsid w:val="004E3C44"/>
    <w:rsid w:val="004E6A0C"/>
    <w:rsid w:val="00561B25"/>
    <w:rsid w:val="005C759A"/>
    <w:rsid w:val="005E096E"/>
    <w:rsid w:val="00643D6B"/>
    <w:rsid w:val="006D30BF"/>
    <w:rsid w:val="006D4B55"/>
    <w:rsid w:val="007806FB"/>
    <w:rsid w:val="007938DE"/>
    <w:rsid w:val="007977D0"/>
    <w:rsid w:val="007A0167"/>
    <w:rsid w:val="007E784E"/>
    <w:rsid w:val="0080445C"/>
    <w:rsid w:val="00872D5A"/>
    <w:rsid w:val="00971DC2"/>
    <w:rsid w:val="009B2479"/>
    <w:rsid w:val="009C5247"/>
    <w:rsid w:val="009C5ECD"/>
    <w:rsid w:val="009E121F"/>
    <w:rsid w:val="009F4F84"/>
    <w:rsid w:val="00A27034"/>
    <w:rsid w:val="00A32239"/>
    <w:rsid w:val="00A90A1D"/>
    <w:rsid w:val="00AA2A30"/>
    <w:rsid w:val="00AA5130"/>
    <w:rsid w:val="00AD5829"/>
    <w:rsid w:val="00B0623A"/>
    <w:rsid w:val="00B87019"/>
    <w:rsid w:val="00B92A79"/>
    <w:rsid w:val="00C84C67"/>
    <w:rsid w:val="00CA2873"/>
    <w:rsid w:val="00CE5A64"/>
    <w:rsid w:val="00CE73C0"/>
    <w:rsid w:val="00D71B0B"/>
    <w:rsid w:val="00D91E33"/>
    <w:rsid w:val="00DB63E1"/>
    <w:rsid w:val="00E03001"/>
    <w:rsid w:val="00E056D1"/>
    <w:rsid w:val="00E47F1C"/>
    <w:rsid w:val="00E56B37"/>
    <w:rsid w:val="00EA618D"/>
    <w:rsid w:val="00EB0E38"/>
    <w:rsid w:val="00EE5922"/>
    <w:rsid w:val="00EF6235"/>
    <w:rsid w:val="00F0613A"/>
    <w:rsid w:val="00FE18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9DE43E-242B-4F32-A5E4-B871CDCF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8D"/>
    <w:pPr>
      <w:ind w:left="720"/>
      <w:contextualSpacing/>
    </w:pPr>
  </w:style>
  <w:style w:type="table" w:styleId="TableGrid">
    <w:name w:val="Table Grid"/>
    <w:basedOn w:val="TableNormal"/>
    <w:uiPriority w:val="99"/>
    <w:rsid w:val="00D91E3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D6733"/>
    <w:pPr>
      <w:tabs>
        <w:tab w:val="center" w:pos="4320"/>
        <w:tab w:val="right" w:pos="8640"/>
      </w:tabs>
    </w:pPr>
  </w:style>
  <w:style w:type="character" w:customStyle="1" w:styleId="HeaderChar">
    <w:name w:val="Header Char"/>
    <w:basedOn w:val="DefaultParagraphFont"/>
    <w:link w:val="Header"/>
    <w:uiPriority w:val="99"/>
    <w:semiHidden/>
    <w:rsid w:val="001D6733"/>
    <w:rPr>
      <w:rFonts w:ascii="Calibri" w:hAnsi="Calibri"/>
      <w:sz w:val="22"/>
    </w:rPr>
  </w:style>
  <w:style w:type="paragraph" w:styleId="Footer">
    <w:name w:val="footer"/>
    <w:basedOn w:val="Normal"/>
    <w:link w:val="FooterChar"/>
    <w:uiPriority w:val="99"/>
    <w:semiHidden/>
    <w:unhideWhenUsed/>
    <w:rsid w:val="001D6733"/>
    <w:pPr>
      <w:tabs>
        <w:tab w:val="center" w:pos="4320"/>
        <w:tab w:val="right" w:pos="8640"/>
      </w:tabs>
    </w:pPr>
  </w:style>
  <w:style w:type="character" w:customStyle="1" w:styleId="FooterChar">
    <w:name w:val="Footer Char"/>
    <w:basedOn w:val="DefaultParagraphFont"/>
    <w:link w:val="Footer"/>
    <w:uiPriority w:val="99"/>
    <w:semiHidden/>
    <w:rsid w:val="001D6733"/>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6164</Characters>
  <Application>Microsoft Office Word</Application>
  <DocSecurity>0</DocSecurity>
  <Lines>228</Lines>
  <Paragraphs>174</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Coffey</dc:creator>
  <cp:keywords/>
  <cp:lastModifiedBy>Alexander Kolesnik</cp:lastModifiedBy>
  <cp:revision>2</cp:revision>
  <dcterms:created xsi:type="dcterms:W3CDTF">2016-08-30T16:44:00Z</dcterms:created>
  <dcterms:modified xsi:type="dcterms:W3CDTF">2016-08-30T16:44:00Z</dcterms:modified>
</cp:coreProperties>
</file>