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4D" w:rsidRPr="00CF3CF0" w:rsidRDefault="008D2B4D">
      <w:pPr>
        <w:rPr>
          <w:rFonts w:ascii="Verdana" w:hAnsi="Verdana" w:cs="Times New Roman"/>
          <w:sz w:val="16"/>
          <w:szCs w:val="18"/>
        </w:rPr>
      </w:pPr>
      <w:r w:rsidRPr="00CF3CF0">
        <w:rPr>
          <w:rFonts w:ascii="Verdana" w:hAnsi="Verdana" w:cs="Times New Roman"/>
          <w:b/>
          <w:i/>
          <w:sz w:val="18"/>
          <w:szCs w:val="20"/>
        </w:rPr>
        <w:t>FY19-20 Charge:</w:t>
      </w:r>
      <w:r w:rsidRPr="00CF3CF0">
        <w:rPr>
          <w:rFonts w:ascii="Verdana" w:hAnsi="Verdana" w:cs="Times New Roman"/>
          <w:i/>
          <w:sz w:val="18"/>
          <w:szCs w:val="20"/>
        </w:rPr>
        <w:t xml:space="preserve"> </w:t>
      </w:r>
      <w:r w:rsidRPr="00CF3CF0">
        <w:rPr>
          <w:rFonts w:ascii="Verdana" w:hAnsi="Verdana" w:cs="Times New Roman"/>
          <w:sz w:val="16"/>
          <w:szCs w:val="18"/>
        </w:rPr>
        <w:t>The Budget and Resource Committee (BRC) is an operational committee responsible for making recommendations to the College Planning Committee and the Ventura College Executive Team. The faculty Co-Chair of the BRC or designee serves as a member of the Accreditation Steering Advisory Group and makes a budget report to the College Planning Committee about Ventura College budget and resource activities. The BRC meets regularly to consider and recommend program review resource requests that support the goals of Ventura College and the District Educational Master Plans, performs usage analysis of College resources to support a sustainable budget, considers strategic and budget planning, accountability issues, and analyzes total cost of ownership issues for Ventura College. The subcommittees of the BRC are the Facilities Oversight Group and the Technology Advisory Group, which prepare reports and make recommendations to the BRC.</w:t>
      </w:r>
    </w:p>
    <w:p w:rsidR="00EE3A6B" w:rsidRDefault="00EE3A6B">
      <w:pPr>
        <w:rPr>
          <w:rFonts w:ascii="Verdana" w:hAnsi="Verdana" w:cs="Times New Roman"/>
          <w:sz w:val="18"/>
          <w:szCs w:val="18"/>
        </w:rPr>
      </w:pPr>
    </w:p>
    <w:p w:rsidR="00EE3A6B" w:rsidRDefault="00EE3A6B">
      <w:pPr>
        <w:rPr>
          <w:b/>
          <w:sz w:val="20"/>
        </w:rPr>
      </w:pPr>
      <w:r>
        <w:rPr>
          <w:rFonts w:ascii="Verdana" w:hAnsi="Verdana" w:cs="Times New Roman"/>
          <w:sz w:val="18"/>
          <w:szCs w:val="18"/>
        </w:rPr>
        <w:t xml:space="preserve">Handouts: </w:t>
      </w:r>
      <w:r w:rsidR="00E115AF">
        <w:rPr>
          <w:rFonts w:ascii="Verdana" w:hAnsi="Verdana" w:cs="Times New Roman"/>
          <w:sz w:val="18"/>
          <w:szCs w:val="18"/>
        </w:rPr>
        <w:t>DCAS Agenda 01/16/20, Retiree Health Benefits 6ME 12/31/19, Allocation Scenario 10</w:t>
      </w:r>
      <w:r w:rsidR="003508EE">
        <w:rPr>
          <w:rFonts w:ascii="Verdana" w:hAnsi="Verdana" w:cs="Times New Roman"/>
          <w:sz w:val="18"/>
          <w:szCs w:val="18"/>
        </w:rPr>
        <w:t>-</w:t>
      </w:r>
      <w:r w:rsidR="00E115AF">
        <w:rPr>
          <w:rFonts w:ascii="Verdana" w:hAnsi="Verdana" w:cs="Times New Roman"/>
          <w:sz w:val="18"/>
          <w:szCs w:val="18"/>
        </w:rPr>
        <w:t xml:space="preserve">All Student Success Counts, </w:t>
      </w:r>
      <w:r w:rsidR="003508EE">
        <w:rPr>
          <w:rFonts w:ascii="Verdana" w:hAnsi="Verdana" w:cs="Times New Roman"/>
          <w:sz w:val="18"/>
          <w:szCs w:val="18"/>
        </w:rPr>
        <w:t xml:space="preserve">Program Review-Equipment and Facilities Rankings, </w:t>
      </w:r>
    </w:p>
    <w:tbl>
      <w:tblPr>
        <w:tblW w:w="13530" w:type="dxa"/>
        <w:tblInd w:w="120" w:type="dxa"/>
        <w:tblBorders>
          <w:top w:val="double" w:sz="1" w:space="0" w:color="231F20"/>
          <w:left w:val="double" w:sz="1" w:space="0" w:color="231F20"/>
          <w:bottom w:val="double" w:sz="1" w:space="0" w:color="231F20"/>
          <w:right w:val="double" w:sz="1" w:space="0" w:color="231F20"/>
          <w:insideH w:val="double" w:sz="1" w:space="0" w:color="231F20"/>
          <w:insideV w:val="double" w:sz="1" w:space="0" w:color="231F20"/>
        </w:tblBorders>
        <w:tblLayout w:type="fixed"/>
        <w:tblCellMar>
          <w:left w:w="0" w:type="dxa"/>
          <w:right w:w="0" w:type="dxa"/>
        </w:tblCellMar>
        <w:tblLook w:val="01E0" w:firstRow="1" w:lastRow="1" w:firstColumn="1" w:lastColumn="1" w:noHBand="0" w:noVBand="0"/>
      </w:tblPr>
      <w:tblGrid>
        <w:gridCol w:w="5182"/>
        <w:gridCol w:w="6570"/>
        <w:gridCol w:w="1778"/>
      </w:tblGrid>
      <w:tr w:rsidR="002659F4" w:rsidRPr="007D7D01" w:rsidTr="00BC4DA6">
        <w:trPr>
          <w:trHeight w:val="363"/>
        </w:trPr>
        <w:tc>
          <w:tcPr>
            <w:tcW w:w="5182" w:type="dxa"/>
            <w:tcBorders>
              <w:top w:val="double" w:sz="2" w:space="0" w:color="231F20"/>
              <w:left w:val="double" w:sz="2" w:space="0" w:color="231F20"/>
              <w:bottom w:val="double" w:sz="2" w:space="0" w:color="231F20"/>
              <w:right w:val="double" w:sz="2" w:space="0" w:color="231F20"/>
            </w:tcBorders>
            <w:shd w:val="clear" w:color="auto" w:fill="D9D9D9" w:themeFill="background1" w:themeFillShade="D9"/>
          </w:tcPr>
          <w:p w:rsidR="002659F4" w:rsidRPr="007D7D01" w:rsidRDefault="00A32ECE">
            <w:pPr>
              <w:pStyle w:val="TableParagraph"/>
              <w:spacing w:before="14"/>
              <w:ind w:left="1582" w:right="1581"/>
              <w:jc w:val="center"/>
              <w:rPr>
                <w:rFonts w:asciiTheme="minorHAnsi" w:hAnsiTheme="minorHAnsi" w:cstheme="minorHAnsi"/>
                <w:b/>
                <w:sz w:val="20"/>
                <w:szCs w:val="20"/>
              </w:rPr>
            </w:pPr>
            <w:r w:rsidRPr="007D7D01">
              <w:rPr>
                <w:rFonts w:asciiTheme="minorHAnsi" w:hAnsiTheme="minorHAnsi" w:cstheme="minorHAnsi"/>
                <w:b/>
                <w:color w:val="231F20"/>
                <w:sz w:val="20"/>
                <w:szCs w:val="20"/>
              </w:rPr>
              <w:t>Agenda Item</w:t>
            </w:r>
          </w:p>
        </w:tc>
        <w:tc>
          <w:tcPr>
            <w:tcW w:w="6570" w:type="dxa"/>
            <w:tcBorders>
              <w:top w:val="double" w:sz="2" w:space="0" w:color="231F20"/>
              <w:left w:val="double" w:sz="2" w:space="0" w:color="231F20"/>
              <w:bottom w:val="double" w:sz="2" w:space="0" w:color="231F20"/>
              <w:right w:val="double" w:sz="2" w:space="0" w:color="231F20"/>
            </w:tcBorders>
            <w:shd w:val="clear" w:color="auto" w:fill="D9D9D9" w:themeFill="background1" w:themeFillShade="D9"/>
          </w:tcPr>
          <w:p w:rsidR="002659F4" w:rsidRPr="007D7D01" w:rsidRDefault="00A32ECE" w:rsidP="00BC4DA6">
            <w:pPr>
              <w:pStyle w:val="TableParagraph"/>
              <w:spacing w:before="14"/>
              <w:ind w:left="3028" w:right="2600" w:hanging="698"/>
              <w:jc w:val="center"/>
              <w:rPr>
                <w:rFonts w:asciiTheme="minorHAnsi" w:hAnsiTheme="minorHAnsi" w:cstheme="minorHAnsi"/>
                <w:b/>
                <w:sz w:val="20"/>
                <w:szCs w:val="20"/>
              </w:rPr>
            </w:pPr>
            <w:r w:rsidRPr="007D7D01">
              <w:rPr>
                <w:rFonts w:asciiTheme="minorHAnsi" w:hAnsiTheme="minorHAnsi" w:cstheme="minorHAnsi"/>
                <w:b/>
                <w:color w:val="231F20"/>
                <w:sz w:val="20"/>
                <w:szCs w:val="20"/>
              </w:rPr>
              <w:t>Discu</w:t>
            </w:r>
            <w:r w:rsidR="00BC4DA6">
              <w:rPr>
                <w:rFonts w:asciiTheme="minorHAnsi" w:hAnsiTheme="minorHAnsi" w:cstheme="minorHAnsi"/>
                <w:b/>
                <w:color w:val="231F20"/>
                <w:sz w:val="20"/>
                <w:szCs w:val="20"/>
              </w:rPr>
              <w:t>s</w:t>
            </w:r>
            <w:r w:rsidRPr="007D7D01">
              <w:rPr>
                <w:rFonts w:asciiTheme="minorHAnsi" w:hAnsiTheme="minorHAnsi" w:cstheme="minorHAnsi"/>
                <w:b/>
                <w:color w:val="231F20"/>
                <w:sz w:val="20"/>
                <w:szCs w:val="20"/>
              </w:rPr>
              <w:t>sion Notes</w:t>
            </w:r>
          </w:p>
        </w:tc>
        <w:tc>
          <w:tcPr>
            <w:tcW w:w="1778" w:type="dxa"/>
            <w:tcBorders>
              <w:top w:val="double" w:sz="2" w:space="0" w:color="231F20"/>
              <w:left w:val="double" w:sz="2" w:space="0" w:color="231F20"/>
              <w:bottom w:val="double" w:sz="2" w:space="0" w:color="231F20"/>
              <w:right w:val="double" w:sz="2" w:space="0" w:color="231F20"/>
            </w:tcBorders>
            <w:shd w:val="clear" w:color="auto" w:fill="D9D9D9" w:themeFill="background1" w:themeFillShade="D9"/>
          </w:tcPr>
          <w:p w:rsidR="002659F4" w:rsidRPr="007D7D01" w:rsidRDefault="00A32ECE">
            <w:pPr>
              <w:pStyle w:val="TableParagraph"/>
              <w:spacing w:before="14"/>
              <w:ind w:left="537"/>
              <w:rPr>
                <w:rFonts w:asciiTheme="minorHAnsi" w:hAnsiTheme="minorHAnsi" w:cstheme="minorHAnsi"/>
                <w:b/>
                <w:sz w:val="20"/>
                <w:szCs w:val="20"/>
              </w:rPr>
            </w:pPr>
            <w:r w:rsidRPr="007D7D01">
              <w:rPr>
                <w:rFonts w:asciiTheme="minorHAnsi" w:hAnsiTheme="minorHAnsi" w:cstheme="minorHAnsi"/>
                <w:b/>
                <w:color w:val="231F20"/>
                <w:sz w:val="20"/>
                <w:szCs w:val="20"/>
              </w:rPr>
              <w:t>Action?</w:t>
            </w:r>
          </w:p>
        </w:tc>
      </w:tr>
      <w:tr w:rsidR="002659F4" w:rsidRPr="007D7D01" w:rsidTr="00BC4DA6">
        <w:trPr>
          <w:trHeight w:val="354"/>
        </w:trPr>
        <w:tc>
          <w:tcPr>
            <w:tcW w:w="5182" w:type="dxa"/>
            <w:tcBorders>
              <w:top w:val="double" w:sz="2" w:space="0" w:color="231F20"/>
            </w:tcBorders>
          </w:tcPr>
          <w:p w:rsidR="002659F4" w:rsidRPr="00CF3CF0" w:rsidRDefault="00A32ECE" w:rsidP="00A0433F">
            <w:pPr>
              <w:pStyle w:val="TableParagraph"/>
              <w:spacing w:before="16"/>
              <w:ind w:left="134"/>
              <w:rPr>
                <w:rFonts w:asciiTheme="minorHAnsi" w:hAnsiTheme="minorHAnsi" w:cstheme="minorHAnsi"/>
                <w:sz w:val="19"/>
                <w:szCs w:val="19"/>
              </w:rPr>
            </w:pPr>
            <w:r w:rsidRPr="00CF3CF0">
              <w:rPr>
                <w:rFonts w:asciiTheme="minorHAnsi" w:hAnsiTheme="minorHAnsi" w:cstheme="minorHAnsi"/>
                <w:color w:val="231F20"/>
                <w:sz w:val="19"/>
                <w:szCs w:val="19"/>
              </w:rPr>
              <w:t xml:space="preserve">1. </w:t>
            </w:r>
            <w:r w:rsidR="00A0433F" w:rsidRPr="00CF3CF0">
              <w:rPr>
                <w:rFonts w:asciiTheme="minorHAnsi" w:hAnsiTheme="minorHAnsi" w:cstheme="minorHAnsi"/>
                <w:color w:val="231F20"/>
                <w:sz w:val="19"/>
                <w:szCs w:val="19"/>
              </w:rPr>
              <w:t>Welcome / Introductions</w:t>
            </w:r>
          </w:p>
        </w:tc>
        <w:tc>
          <w:tcPr>
            <w:tcW w:w="6570" w:type="dxa"/>
            <w:tcBorders>
              <w:top w:val="double" w:sz="2" w:space="0" w:color="231F20"/>
            </w:tcBorders>
          </w:tcPr>
          <w:p w:rsidR="002659F4" w:rsidRPr="007D7D01" w:rsidRDefault="002659F4" w:rsidP="00650710">
            <w:pPr>
              <w:pStyle w:val="TableParagraph"/>
              <w:rPr>
                <w:rFonts w:asciiTheme="minorHAnsi" w:hAnsiTheme="minorHAnsi" w:cstheme="minorHAnsi"/>
              </w:rPr>
            </w:pPr>
          </w:p>
        </w:tc>
        <w:tc>
          <w:tcPr>
            <w:tcW w:w="1778" w:type="dxa"/>
            <w:tcBorders>
              <w:top w:val="double" w:sz="2" w:space="0" w:color="231F20"/>
            </w:tcBorders>
          </w:tcPr>
          <w:p w:rsidR="002659F4" w:rsidRPr="007D7D01" w:rsidRDefault="002659F4">
            <w:pPr>
              <w:pStyle w:val="TableParagraph"/>
              <w:rPr>
                <w:rFonts w:asciiTheme="minorHAnsi" w:hAnsiTheme="minorHAnsi" w:cstheme="minorHAnsi"/>
              </w:rPr>
            </w:pPr>
          </w:p>
        </w:tc>
      </w:tr>
      <w:tr w:rsidR="002659F4" w:rsidRPr="007D7D01" w:rsidTr="00BC4DA6">
        <w:trPr>
          <w:trHeight w:val="486"/>
        </w:trPr>
        <w:tc>
          <w:tcPr>
            <w:tcW w:w="5182" w:type="dxa"/>
          </w:tcPr>
          <w:p w:rsidR="002659F4" w:rsidRPr="00CF3CF0" w:rsidRDefault="00A32ECE" w:rsidP="00A0433F">
            <w:pPr>
              <w:pStyle w:val="TableParagraph"/>
              <w:spacing w:before="16"/>
              <w:ind w:left="134"/>
              <w:rPr>
                <w:rFonts w:asciiTheme="minorHAnsi" w:hAnsiTheme="minorHAnsi" w:cstheme="minorHAnsi"/>
                <w:sz w:val="19"/>
                <w:szCs w:val="19"/>
              </w:rPr>
            </w:pPr>
            <w:r w:rsidRPr="00CF3CF0">
              <w:rPr>
                <w:rFonts w:asciiTheme="minorHAnsi" w:hAnsiTheme="minorHAnsi" w:cstheme="minorHAnsi"/>
                <w:color w:val="231F20"/>
                <w:sz w:val="19"/>
                <w:szCs w:val="19"/>
              </w:rPr>
              <w:t xml:space="preserve">2. </w:t>
            </w:r>
            <w:r w:rsidR="00A0433F" w:rsidRPr="00CF3CF0">
              <w:rPr>
                <w:rFonts w:asciiTheme="minorHAnsi" w:hAnsiTheme="minorHAnsi" w:cstheme="minorHAnsi"/>
                <w:color w:val="231F20"/>
                <w:sz w:val="19"/>
                <w:szCs w:val="19"/>
              </w:rPr>
              <w:t>Public Comments</w:t>
            </w:r>
          </w:p>
        </w:tc>
        <w:tc>
          <w:tcPr>
            <w:tcW w:w="6570" w:type="dxa"/>
          </w:tcPr>
          <w:p w:rsidR="002659F4" w:rsidRPr="007D7D01" w:rsidRDefault="002659F4" w:rsidP="003C135E">
            <w:pPr>
              <w:pStyle w:val="TableParagraph"/>
              <w:rPr>
                <w:rFonts w:asciiTheme="minorHAnsi" w:hAnsiTheme="minorHAnsi" w:cstheme="minorHAnsi"/>
              </w:rPr>
            </w:pPr>
          </w:p>
        </w:tc>
        <w:tc>
          <w:tcPr>
            <w:tcW w:w="1778" w:type="dxa"/>
          </w:tcPr>
          <w:p w:rsidR="002659F4" w:rsidRPr="007D7D01" w:rsidRDefault="002659F4">
            <w:pPr>
              <w:pStyle w:val="TableParagraph"/>
              <w:rPr>
                <w:rFonts w:asciiTheme="minorHAnsi" w:hAnsiTheme="minorHAnsi" w:cstheme="minorHAnsi"/>
              </w:rPr>
            </w:pPr>
          </w:p>
        </w:tc>
      </w:tr>
      <w:tr w:rsidR="00A0433F" w:rsidRPr="007D7D01" w:rsidTr="00BC4DA6">
        <w:trPr>
          <w:trHeight w:val="486"/>
        </w:trPr>
        <w:tc>
          <w:tcPr>
            <w:tcW w:w="5182" w:type="dxa"/>
          </w:tcPr>
          <w:p w:rsidR="00A0433F" w:rsidRPr="00CF3CF0" w:rsidRDefault="00A0433F" w:rsidP="00A0433F">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3. Action Items:</w:t>
            </w:r>
          </w:p>
          <w:p w:rsidR="00A0433F" w:rsidRPr="00CF3CF0" w:rsidRDefault="00A0433F" w:rsidP="006C7C6B">
            <w:pPr>
              <w:pStyle w:val="TableParagraph"/>
              <w:spacing w:before="16"/>
              <w:ind w:left="310"/>
              <w:rPr>
                <w:rFonts w:asciiTheme="minorHAnsi" w:hAnsiTheme="minorHAnsi" w:cstheme="minorHAnsi"/>
                <w:color w:val="231F20"/>
                <w:sz w:val="19"/>
                <w:szCs w:val="19"/>
              </w:rPr>
            </w:pPr>
            <w:r w:rsidRPr="00CF3CF0">
              <w:rPr>
                <w:rFonts w:asciiTheme="minorHAnsi" w:hAnsiTheme="minorHAnsi" w:cstheme="minorHAnsi"/>
                <w:color w:val="231F20"/>
                <w:sz w:val="19"/>
                <w:szCs w:val="19"/>
              </w:rPr>
              <w:t>A. Approval of Agenda</w:t>
            </w:r>
          </w:p>
          <w:p w:rsidR="00A0433F" w:rsidRPr="00CF3CF0" w:rsidRDefault="00A0433F" w:rsidP="006C7C6B">
            <w:pPr>
              <w:pStyle w:val="TableParagraph"/>
              <w:spacing w:before="16"/>
              <w:ind w:left="310"/>
              <w:rPr>
                <w:rFonts w:asciiTheme="minorHAnsi" w:hAnsiTheme="minorHAnsi" w:cstheme="minorHAnsi"/>
                <w:color w:val="231F20"/>
                <w:sz w:val="19"/>
                <w:szCs w:val="19"/>
              </w:rPr>
            </w:pPr>
            <w:r w:rsidRPr="00CF3CF0">
              <w:rPr>
                <w:rFonts w:asciiTheme="minorHAnsi" w:hAnsiTheme="minorHAnsi" w:cstheme="minorHAnsi"/>
                <w:color w:val="231F20"/>
                <w:sz w:val="19"/>
                <w:szCs w:val="19"/>
              </w:rPr>
              <w:t>B. Approval of Minutes</w:t>
            </w:r>
          </w:p>
        </w:tc>
        <w:tc>
          <w:tcPr>
            <w:tcW w:w="6570" w:type="dxa"/>
          </w:tcPr>
          <w:p w:rsidR="00B37323" w:rsidRPr="007D7D01" w:rsidRDefault="00B37323" w:rsidP="00410DAE">
            <w:pPr>
              <w:pStyle w:val="TableParagraph"/>
              <w:rPr>
                <w:rFonts w:asciiTheme="minorHAnsi" w:hAnsiTheme="minorHAnsi" w:cstheme="minorHAnsi"/>
              </w:rPr>
            </w:pPr>
            <w:bookmarkStart w:id="0" w:name="_GoBack"/>
            <w:bookmarkEnd w:id="0"/>
          </w:p>
        </w:tc>
        <w:tc>
          <w:tcPr>
            <w:tcW w:w="1778" w:type="dxa"/>
          </w:tcPr>
          <w:p w:rsidR="00A0433F" w:rsidRPr="007D7D01" w:rsidRDefault="00A0433F">
            <w:pPr>
              <w:pStyle w:val="TableParagraph"/>
              <w:rPr>
                <w:rFonts w:asciiTheme="minorHAnsi" w:hAnsiTheme="minorHAnsi" w:cstheme="minorHAnsi"/>
              </w:rPr>
            </w:pPr>
          </w:p>
        </w:tc>
      </w:tr>
      <w:tr w:rsidR="0092571C" w:rsidRPr="007D7D01" w:rsidTr="00BC4DA6">
        <w:trPr>
          <w:trHeight w:val="561"/>
        </w:trPr>
        <w:tc>
          <w:tcPr>
            <w:tcW w:w="5182" w:type="dxa"/>
            <w:tcBorders>
              <w:bottom w:val="double" w:sz="2" w:space="0" w:color="231F20"/>
            </w:tcBorders>
          </w:tcPr>
          <w:p w:rsidR="0092571C" w:rsidRPr="00CF3CF0" w:rsidRDefault="00527277" w:rsidP="00527277">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4</w:t>
            </w:r>
            <w:r w:rsidR="008D2B4D" w:rsidRPr="00CF3CF0">
              <w:rPr>
                <w:rFonts w:asciiTheme="minorHAnsi" w:hAnsiTheme="minorHAnsi" w:cstheme="minorHAnsi"/>
                <w:color w:val="231F20"/>
                <w:sz w:val="19"/>
                <w:szCs w:val="19"/>
              </w:rPr>
              <w:t xml:space="preserve">. </w:t>
            </w:r>
            <w:r w:rsidR="00410DAE" w:rsidRPr="00CF3CF0">
              <w:rPr>
                <w:rFonts w:asciiTheme="minorHAnsi" w:hAnsiTheme="minorHAnsi" w:cstheme="minorHAnsi"/>
                <w:color w:val="231F20"/>
                <w:sz w:val="19"/>
                <w:szCs w:val="19"/>
              </w:rPr>
              <w:t xml:space="preserve"> Budget Report – Cathy Bojorquez or designee (</w:t>
            </w:r>
            <w:r w:rsidR="00BE4E50" w:rsidRPr="00CF3CF0">
              <w:rPr>
                <w:rFonts w:asciiTheme="minorHAnsi" w:hAnsiTheme="minorHAnsi" w:cstheme="minorHAnsi"/>
                <w:color w:val="231F20"/>
                <w:sz w:val="19"/>
                <w:szCs w:val="19"/>
              </w:rPr>
              <w:t>4</w:t>
            </w:r>
            <w:r w:rsidRPr="00CF3CF0">
              <w:rPr>
                <w:rFonts w:asciiTheme="minorHAnsi" w:hAnsiTheme="minorHAnsi" w:cstheme="minorHAnsi"/>
                <w:color w:val="231F20"/>
                <w:sz w:val="19"/>
                <w:szCs w:val="19"/>
              </w:rPr>
              <w:t>0</w:t>
            </w:r>
            <w:r w:rsidR="00410DAE" w:rsidRPr="00CF3CF0">
              <w:rPr>
                <w:rFonts w:asciiTheme="minorHAnsi" w:hAnsiTheme="minorHAnsi" w:cstheme="minorHAnsi"/>
                <w:color w:val="231F20"/>
                <w:sz w:val="19"/>
                <w:szCs w:val="19"/>
              </w:rPr>
              <w:t xml:space="preserve"> min.)</w:t>
            </w:r>
          </w:p>
          <w:p w:rsidR="0023796A" w:rsidRPr="00CF3CF0" w:rsidRDefault="00527277" w:rsidP="00BE4E50">
            <w:pPr>
              <w:pStyle w:val="TableParagraph"/>
              <w:spacing w:before="16"/>
              <w:ind w:left="49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 xml:space="preserve">A. </w:t>
            </w:r>
            <w:r w:rsidR="00BE4E50" w:rsidRPr="00CF3CF0">
              <w:rPr>
                <w:rFonts w:asciiTheme="minorHAnsi" w:hAnsiTheme="minorHAnsi" w:cstheme="minorHAnsi"/>
                <w:color w:val="231F20"/>
                <w:sz w:val="19"/>
                <w:szCs w:val="19"/>
              </w:rPr>
              <w:t>DCAS Report Out</w:t>
            </w:r>
          </w:p>
          <w:p w:rsidR="00BE4E50" w:rsidRPr="00CF3CF0" w:rsidRDefault="00BE4E50" w:rsidP="00BE4E50">
            <w:pPr>
              <w:pStyle w:val="TableParagraph"/>
              <w:spacing w:before="16"/>
              <w:ind w:left="67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 xml:space="preserve">1). Police Services Budget Review </w:t>
            </w:r>
          </w:p>
          <w:p w:rsidR="00BE4E50" w:rsidRPr="00CF3CF0" w:rsidRDefault="00BE4E50" w:rsidP="00BE4E50">
            <w:pPr>
              <w:pStyle w:val="TableParagraph"/>
              <w:spacing w:before="16"/>
              <w:ind w:left="67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2). Fund 693-Retiree Health Benefits Quarterly Review</w:t>
            </w:r>
          </w:p>
          <w:p w:rsidR="00BE4E50" w:rsidRPr="00CF3CF0" w:rsidRDefault="00BE4E50" w:rsidP="00BE4E50">
            <w:pPr>
              <w:pStyle w:val="TableParagraph"/>
              <w:spacing w:before="16"/>
              <w:ind w:left="67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3). FY21-Continuing with current allocation model elements of the SCFF in allocation model.</w:t>
            </w:r>
          </w:p>
          <w:p w:rsidR="00BE4E50" w:rsidRPr="00CF3CF0" w:rsidRDefault="00BE4E50" w:rsidP="00BE4E50">
            <w:pPr>
              <w:pStyle w:val="TableParagraph"/>
              <w:spacing w:before="16"/>
              <w:ind w:left="67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4). FY-22-Looking at Scenario 10, incorporating elements of the SCFF in allocation model</w:t>
            </w:r>
          </w:p>
          <w:p w:rsidR="00BE4E50" w:rsidRPr="00CF3CF0" w:rsidRDefault="00BE4E50" w:rsidP="00BE4E50">
            <w:pPr>
              <w:pStyle w:val="TableParagraph"/>
              <w:spacing w:before="16"/>
              <w:ind w:left="49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B. Health Benefit Committee report out</w:t>
            </w:r>
          </w:p>
          <w:p w:rsidR="00BE4E50" w:rsidRPr="00CF3CF0" w:rsidRDefault="00BE4E50" w:rsidP="00BE4E50">
            <w:pPr>
              <w:pStyle w:val="TableParagraph"/>
              <w:spacing w:before="16"/>
              <w:ind w:left="67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1). Initial Anthem renewal rates-19.38% for AFT and 26.76% for ASC</w:t>
            </w:r>
          </w:p>
          <w:p w:rsidR="00BE4E50" w:rsidRPr="00CF3CF0" w:rsidRDefault="00BE4E50" w:rsidP="00BE4E50">
            <w:pPr>
              <w:pStyle w:val="TableParagraph"/>
              <w:spacing w:before="16"/>
              <w:rPr>
                <w:rFonts w:asciiTheme="minorHAnsi" w:hAnsiTheme="minorHAnsi" w:cstheme="minorHAnsi"/>
                <w:color w:val="231F20"/>
                <w:sz w:val="19"/>
                <w:szCs w:val="19"/>
              </w:rPr>
            </w:pPr>
            <w:r w:rsidRPr="00CF3CF0">
              <w:rPr>
                <w:rFonts w:asciiTheme="minorHAnsi" w:hAnsiTheme="minorHAnsi" w:cstheme="minorHAnsi"/>
                <w:color w:val="231F20"/>
                <w:sz w:val="19"/>
                <w:szCs w:val="19"/>
              </w:rPr>
              <w:t xml:space="preserve">       C. Potential HSI grant</w:t>
            </w:r>
          </w:p>
          <w:p w:rsidR="0023796A" w:rsidRPr="00CF3CF0" w:rsidRDefault="00601920" w:rsidP="00601920">
            <w:pPr>
              <w:pStyle w:val="TableParagraph"/>
              <w:spacing w:before="16"/>
              <w:ind w:left="490" w:hanging="490"/>
              <w:rPr>
                <w:rFonts w:asciiTheme="minorHAnsi" w:hAnsiTheme="minorHAnsi" w:cstheme="minorHAnsi"/>
                <w:color w:val="231F20"/>
                <w:sz w:val="19"/>
                <w:szCs w:val="19"/>
              </w:rPr>
            </w:pPr>
            <w:r w:rsidRPr="00CF3CF0">
              <w:rPr>
                <w:rFonts w:asciiTheme="minorHAnsi" w:hAnsiTheme="minorHAnsi" w:cstheme="minorHAnsi"/>
                <w:color w:val="231F20"/>
                <w:sz w:val="19"/>
                <w:szCs w:val="19"/>
              </w:rPr>
              <w:t xml:space="preserve">       D. Fund 111 and 12X budgets will be posted on the BRC website.</w:t>
            </w:r>
          </w:p>
        </w:tc>
        <w:tc>
          <w:tcPr>
            <w:tcW w:w="6570" w:type="dxa"/>
            <w:tcBorders>
              <w:bottom w:val="double" w:sz="2" w:space="0" w:color="231F20"/>
            </w:tcBorders>
          </w:tcPr>
          <w:p w:rsidR="0092571C" w:rsidRPr="007D7D01" w:rsidRDefault="0092571C" w:rsidP="00CD14CB">
            <w:pPr>
              <w:pStyle w:val="TableParagraph"/>
              <w:rPr>
                <w:rFonts w:asciiTheme="minorHAnsi" w:hAnsiTheme="minorHAnsi" w:cstheme="minorHAnsi"/>
              </w:rPr>
            </w:pPr>
          </w:p>
        </w:tc>
        <w:tc>
          <w:tcPr>
            <w:tcW w:w="1778" w:type="dxa"/>
            <w:tcBorders>
              <w:bottom w:val="double" w:sz="2" w:space="0" w:color="231F20"/>
            </w:tcBorders>
          </w:tcPr>
          <w:p w:rsidR="00051A5A" w:rsidRPr="007D7D01" w:rsidRDefault="00051A5A">
            <w:pPr>
              <w:pStyle w:val="TableParagraph"/>
              <w:rPr>
                <w:rFonts w:asciiTheme="minorHAnsi" w:hAnsiTheme="minorHAnsi" w:cstheme="minorHAnsi"/>
              </w:rPr>
            </w:pPr>
          </w:p>
        </w:tc>
      </w:tr>
      <w:tr w:rsidR="008D2B4D" w:rsidRPr="007D7D01" w:rsidTr="00BC4DA6">
        <w:trPr>
          <w:trHeight w:val="486"/>
        </w:trPr>
        <w:tc>
          <w:tcPr>
            <w:tcW w:w="5182" w:type="dxa"/>
            <w:tcBorders>
              <w:top w:val="double" w:sz="2" w:space="0" w:color="231F20"/>
            </w:tcBorders>
          </w:tcPr>
          <w:p w:rsidR="008D2B4D" w:rsidRPr="00CF3CF0" w:rsidRDefault="00527277" w:rsidP="00527277">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5.</w:t>
            </w:r>
            <w:r w:rsidR="008D2B4D" w:rsidRPr="00CF3CF0">
              <w:rPr>
                <w:rFonts w:asciiTheme="minorHAnsi" w:hAnsiTheme="minorHAnsi" w:cstheme="minorHAnsi"/>
                <w:color w:val="231F20"/>
                <w:sz w:val="19"/>
                <w:szCs w:val="19"/>
              </w:rPr>
              <w:t xml:space="preserve"> </w:t>
            </w:r>
            <w:r w:rsidRPr="00CF3CF0">
              <w:rPr>
                <w:rFonts w:asciiTheme="minorHAnsi" w:hAnsiTheme="minorHAnsi" w:cstheme="minorHAnsi"/>
                <w:color w:val="231F20"/>
                <w:sz w:val="19"/>
                <w:szCs w:val="19"/>
              </w:rPr>
              <w:t xml:space="preserve">Program Review </w:t>
            </w:r>
            <w:r w:rsidR="006B3222" w:rsidRPr="00CF3CF0">
              <w:rPr>
                <w:rFonts w:asciiTheme="minorHAnsi" w:hAnsiTheme="minorHAnsi" w:cstheme="minorHAnsi"/>
                <w:color w:val="231F20"/>
                <w:sz w:val="19"/>
                <w:szCs w:val="19"/>
              </w:rPr>
              <w:t>Initiatives</w:t>
            </w:r>
            <w:r w:rsidR="006C7C6B" w:rsidRPr="00CF3CF0">
              <w:rPr>
                <w:rFonts w:asciiTheme="minorHAnsi" w:hAnsiTheme="minorHAnsi" w:cstheme="minorHAnsi"/>
                <w:color w:val="231F20"/>
                <w:sz w:val="19"/>
                <w:szCs w:val="19"/>
              </w:rPr>
              <w:t xml:space="preserve"> – Phil Briggs or designee </w:t>
            </w:r>
            <w:r w:rsidR="008D2B4D" w:rsidRPr="00CF3CF0">
              <w:rPr>
                <w:rFonts w:asciiTheme="minorHAnsi" w:hAnsiTheme="minorHAnsi" w:cstheme="minorHAnsi"/>
                <w:color w:val="231F20"/>
                <w:sz w:val="19"/>
                <w:szCs w:val="19"/>
              </w:rPr>
              <w:t>(</w:t>
            </w:r>
            <w:r w:rsidRPr="00CF3CF0">
              <w:rPr>
                <w:rFonts w:asciiTheme="minorHAnsi" w:hAnsiTheme="minorHAnsi" w:cstheme="minorHAnsi"/>
                <w:color w:val="231F20"/>
                <w:sz w:val="19"/>
                <w:szCs w:val="19"/>
              </w:rPr>
              <w:t>1</w:t>
            </w:r>
            <w:r w:rsidR="00601920" w:rsidRPr="00CF3CF0">
              <w:rPr>
                <w:rFonts w:asciiTheme="minorHAnsi" w:hAnsiTheme="minorHAnsi" w:cstheme="minorHAnsi"/>
                <w:color w:val="231F20"/>
                <w:sz w:val="19"/>
                <w:szCs w:val="19"/>
              </w:rPr>
              <w:t>5</w:t>
            </w:r>
            <w:r w:rsidR="008D2B4D" w:rsidRPr="00CF3CF0">
              <w:rPr>
                <w:rFonts w:asciiTheme="minorHAnsi" w:hAnsiTheme="minorHAnsi" w:cstheme="minorHAnsi"/>
                <w:color w:val="231F20"/>
                <w:sz w:val="19"/>
                <w:szCs w:val="19"/>
              </w:rPr>
              <w:t xml:space="preserve"> min.)</w:t>
            </w:r>
          </w:p>
          <w:p w:rsidR="00601920" w:rsidRPr="00CF3CF0" w:rsidRDefault="00601920" w:rsidP="00601920">
            <w:pPr>
              <w:pStyle w:val="TableParagraph"/>
              <w:spacing w:before="16"/>
              <w:ind w:left="49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A. Approval of Program Review Equipment ranking (Action)</w:t>
            </w:r>
          </w:p>
          <w:p w:rsidR="00527277" w:rsidRPr="00CF3CF0" w:rsidRDefault="00601920" w:rsidP="00601920">
            <w:pPr>
              <w:pStyle w:val="TableParagraph"/>
              <w:spacing w:before="16"/>
              <w:ind w:left="490" w:hanging="180"/>
              <w:rPr>
                <w:rFonts w:asciiTheme="minorHAnsi" w:hAnsiTheme="minorHAnsi" w:cstheme="minorHAnsi"/>
                <w:color w:val="231F20"/>
                <w:sz w:val="19"/>
                <w:szCs w:val="19"/>
              </w:rPr>
            </w:pPr>
            <w:r w:rsidRPr="00CF3CF0">
              <w:rPr>
                <w:rFonts w:asciiTheme="minorHAnsi" w:hAnsiTheme="minorHAnsi" w:cstheme="minorHAnsi"/>
                <w:color w:val="231F20"/>
                <w:sz w:val="19"/>
                <w:szCs w:val="19"/>
              </w:rPr>
              <w:t>B. Timeline for Program Review</w:t>
            </w:r>
          </w:p>
        </w:tc>
        <w:tc>
          <w:tcPr>
            <w:tcW w:w="6570" w:type="dxa"/>
            <w:tcBorders>
              <w:top w:val="double" w:sz="2" w:space="0" w:color="231F20"/>
            </w:tcBorders>
          </w:tcPr>
          <w:p w:rsidR="008D2B4D" w:rsidRPr="007D7D01" w:rsidRDefault="008D2B4D">
            <w:pPr>
              <w:pStyle w:val="ListParagraph"/>
              <w:rPr>
                <w:rFonts w:asciiTheme="minorHAnsi" w:hAnsiTheme="minorHAnsi" w:cstheme="minorHAnsi"/>
              </w:rPr>
            </w:pPr>
          </w:p>
        </w:tc>
        <w:tc>
          <w:tcPr>
            <w:tcW w:w="1778" w:type="dxa"/>
            <w:tcBorders>
              <w:top w:val="double" w:sz="2" w:space="0" w:color="231F20"/>
            </w:tcBorders>
          </w:tcPr>
          <w:p w:rsidR="008D2B4D" w:rsidRPr="007D7D01" w:rsidRDefault="008D2B4D">
            <w:pPr>
              <w:pStyle w:val="TableParagraph"/>
              <w:rPr>
                <w:rFonts w:asciiTheme="minorHAnsi" w:hAnsiTheme="minorHAnsi" w:cstheme="minorHAnsi"/>
              </w:rPr>
            </w:pPr>
          </w:p>
        </w:tc>
      </w:tr>
      <w:tr w:rsidR="0092571C" w:rsidRPr="007D7D01" w:rsidTr="00BC4DA6">
        <w:trPr>
          <w:trHeight w:val="486"/>
        </w:trPr>
        <w:tc>
          <w:tcPr>
            <w:tcW w:w="5182" w:type="dxa"/>
          </w:tcPr>
          <w:p w:rsidR="0092571C" w:rsidRPr="00CF3CF0" w:rsidRDefault="006B3222" w:rsidP="006B3222">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7</w:t>
            </w:r>
            <w:r w:rsidR="0092571C" w:rsidRPr="00CF3CF0">
              <w:rPr>
                <w:rFonts w:asciiTheme="minorHAnsi" w:hAnsiTheme="minorHAnsi" w:cstheme="minorHAnsi"/>
                <w:color w:val="231F20"/>
                <w:sz w:val="19"/>
                <w:szCs w:val="19"/>
              </w:rPr>
              <w:t>.</w:t>
            </w:r>
            <w:r w:rsidR="00410DAE" w:rsidRPr="00CF3CF0">
              <w:rPr>
                <w:rFonts w:asciiTheme="minorHAnsi" w:hAnsiTheme="minorHAnsi" w:cstheme="minorHAnsi"/>
                <w:color w:val="231F20"/>
                <w:sz w:val="19"/>
                <w:szCs w:val="19"/>
              </w:rPr>
              <w:t xml:space="preserve"> Technology Advisory Group Report – G</w:t>
            </w:r>
            <w:r w:rsidR="006C7C6B" w:rsidRPr="00CF3CF0">
              <w:rPr>
                <w:rFonts w:asciiTheme="minorHAnsi" w:hAnsiTheme="minorHAnsi" w:cstheme="minorHAnsi"/>
                <w:color w:val="231F20"/>
                <w:sz w:val="19"/>
                <w:szCs w:val="19"/>
              </w:rPr>
              <w:t xml:space="preserve">rant </w:t>
            </w:r>
            <w:r w:rsidR="00410DAE" w:rsidRPr="00CF3CF0">
              <w:rPr>
                <w:rFonts w:asciiTheme="minorHAnsi" w:hAnsiTheme="minorHAnsi" w:cstheme="minorHAnsi"/>
                <w:color w:val="231F20"/>
                <w:sz w:val="19"/>
                <w:szCs w:val="19"/>
              </w:rPr>
              <w:t>Jones or designee (</w:t>
            </w:r>
            <w:r w:rsidRPr="00CF3CF0">
              <w:rPr>
                <w:rFonts w:asciiTheme="minorHAnsi" w:hAnsiTheme="minorHAnsi" w:cstheme="minorHAnsi"/>
                <w:color w:val="231F20"/>
                <w:sz w:val="19"/>
                <w:szCs w:val="19"/>
              </w:rPr>
              <w:t>10</w:t>
            </w:r>
            <w:r w:rsidR="00410DAE" w:rsidRPr="00CF3CF0">
              <w:rPr>
                <w:rFonts w:asciiTheme="minorHAnsi" w:hAnsiTheme="minorHAnsi" w:cstheme="minorHAnsi"/>
                <w:color w:val="231F20"/>
                <w:sz w:val="19"/>
                <w:szCs w:val="19"/>
              </w:rPr>
              <w:t xml:space="preserve"> min.)</w:t>
            </w:r>
          </w:p>
        </w:tc>
        <w:tc>
          <w:tcPr>
            <w:tcW w:w="6570" w:type="dxa"/>
          </w:tcPr>
          <w:p w:rsidR="0092571C" w:rsidRPr="007D7D01" w:rsidRDefault="0092571C" w:rsidP="00527277">
            <w:pPr>
              <w:pStyle w:val="Header"/>
              <w:rPr>
                <w:rFonts w:asciiTheme="minorHAnsi" w:hAnsiTheme="minorHAnsi" w:cstheme="minorHAnsi"/>
              </w:rPr>
            </w:pPr>
          </w:p>
        </w:tc>
        <w:tc>
          <w:tcPr>
            <w:tcW w:w="1778" w:type="dxa"/>
          </w:tcPr>
          <w:p w:rsidR="0092571C" w:rsidRPr="007D7D01" w:rsidRDefault="0092571C">
            <w:pPr>
              <w:pStyle w:val="TableParagraph"/>
              <w:rPr>
                <w:rFonts w:asciiTheme="minorHAnsi" w:hAnsiTheme="minorHAnsi" w:cstheme="minorHAnsi"/>
              </w:rPr>
            </w:pPr>
          </w:p>
        </w:tc>
      </w:tr>
      <w:tr w:rsidR="0092571C" w:rsidRPr="007D7D01" w:rsidTr="00BC4DA6">
        <w:trPr>
          <w:trHeight w:val="486"/>
        </w:trPr>
        <w:tc>
          <w:tcPr>
            <w:tcW w:w="5182" w:type="dxa"/>
          </w:tcPr>
          <w:p w:rsidR="0092571C" w:rsidRPr="00CF3CF0" w:rsidRDefault="004A0AA6" w:rsidP="006B3222">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8</w:t>
            </w:r>
            <w:r w:rsidR="00410DAE" w:rsidRPr="00CF3CF0">
              <w:rPr>
                <w:rFonts w:asciiTheme="minorHAnsi" w:hAnsiTheme="minorHAnsi" w:cstheme="minorHAnsi"/>
                <w:color w:val="231F20"/>
                <w:sz w:val="19"/>
                <w:szCs w:val="19"/>
              </w:rPr>
              <w:t>. Facilities O</w:t>
            </w:r>
            <w:r w:rsidR="006B3222" w:rsidRPr="00CF3CF0">
              <w:rPr>
                <w:rFonts w:asciiTheme="minorHAnsi" w:hAnsiTheme="minorHAnsi" w:cstheme="minorHAnsi"/>
                <w:color w:val="231F20"/>
                <w:sz w:val="19"/>
                <w:szCs w:val="19"/>
              </w:rPr>
              <w:t xml:space="preserve">versight Advisory </w:t>
            </w:r>
            <w:r w:rsidR="00410DAE" w:rsidRPr="00CF3CF0">
              <w:rPr>
                <w:rFonts w:asciiTheme="minorHAnsi" w:hAnsiTheme="minorHAnsi" w:cstheme="minorHAnsi"/>
                <w:color w:val="231F20"/>
                <w:sz w:val="19"/>
                <w:szCs w:val="19"/>
              </w:rPr>
              <w:t xml:space="preserve">Group Report </w:t>
            </w:r>
            <w:r w:rsidR="006B3222" w:rsidRPr="00CF3CF0">
              <w:rPr>
                <w:rFonts w:asciiTheme="minorHAnsi" w:hAnsiTheme="minorHAnsi" w:cstheme="minorHAnsi"/>
                <w:color w:val="231F20"/>
                <w:sz w:val="19"/>
                <w:szCs w:val="19"/>
              </w:rPr>
              <w:t>– Steve Palladino or designee (10</w:t>
            </w:r>
            <w:r w:rsidR="00410DAE" w:rsidRPr="00CF3CF0">
              <w:rPr>
                <w:rFonts w:asciiTheme="minorHAnsi" w:hAnsiTheme="minorHAnsi" w:cstheme="minorHAnsi"/>
                <w:color w:val="231F20"/>
                <w:sz w:val="19"/>
                <w:szCs w:val="19"/>
              </w:rPr>
              <w:t xml:space="preserve"> min.)</w:t>
            </w:r>
          </w:p>
        </w:tc>
        <w:tc>
          <w:tcPr>
            <w:tcW w:w="6570" w:type="dxa"/>
          </w:tcPr>
          <w:p w:rsidR="000275B8" w:rsidRPr="007D7D01" w:rsidRDefault="000275B8">
            <w:pPr>
              <w:pStyle w:val="TableParagraph"/>
              <w:rPr>
                <w:rFonts w:asciiTheme="minorHAnsi" w:hAnsiTheme="minorHAnsi" w:cstheme="minorHAnsi"/>
              </w:rPr>
            </w:pPr>
          </w:p>
        </w:tc>
        <w:tc>
          <w:tcPr>
            <w:tcW w:w="1778" w:type="dxa"/>
          </w:tcPr>
          <w:p w:rsidR="0092571C" w:rsidRPr="007D7D01" w:rsidRDefault="0092571C">
            <w:pPr>
              <w:pStyle w:val="TableParagraph"/>
              <w:rPr>
                <w:rFonts w:asciiTheme="minorHAnsi" w:hAnsiTheme="minorHAnsi" w:cstheme="minorHAnsi"/>
              </w:rPr>
            </w:pPr>
          </w:p>
        </w:tc>
      </w:tr>
      <w:tr w:rsidR="000275B8" w:rsidRPr="007D7D01" w:rsidTr="00601920">
        <w:trPr>
          <w:trHeight w:val="329"/>
        </w:trPr>
        <w:tc>
          <w:tcPr>
            <w:tcW w:w="5182" w:type="dxa"/>
          </w:tcPr>
          <w:p w:rsidR="000275B8" w:rsidRPr="00CF3CF0" w:rsidRDefault="004A0AA6" w:rsidP="00410DAE">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9</w:t>
            </w:r>
            <w:r w:rsidR="00410DAE" w:rsidRPr="00CF3CF0">
              <w:rPr>
                <w:rFonts w:asciiTheme="minorHAnsi" w:hAnsiTheme="minorHAnsi" w:cstheme="minorHAnsi"/>
                <w:color w:val="231F20"/>
                <w:sz w:val="19"/>
                <w:szCs w:val="19"/>
              </w:rPr>
              <w:t>. Items to report to CPC</w:t>
            </w:r>
          </w:p>
        </w:tc>
        <w:tc>
          <w:tcPr>
            <w:tcW w:w="6570" w:type="dxa"/>
          </w:tcPr>
          <w:p w:rsidR="000275B8" w:rsidRPr="007D7D01" w:rsidRDefault="000275B8">
            <w:pPr>
              <w:pStyle w:val="TableParagraph"/>
              <w:rPr>
                <w:rFonts w:asciiTheme="minorHAnsi" w:hAnsiTheme="minorHAnsi" w:cstheme="minorHAnsi"/>
              </w:rPr>
            </w:pPr>
          </w:p>
        </w:tc>
        <w:tc>
          <w:tcPr>
            <w:tcW w:w="1778" w:type="dxa"/>
          </w:tcPr>
          <w:p w:rsidR="000275B8" w:rsidRPr="007D7D01" w:rsidRDefault="000275B8" w:rsidP="000275B8">
            <w:pPr>
              <w:pStyle w:val="TableParagraph"/>
              <w:rPr>
                <w:rFonts w:asciiTheme="minorHAnsi" w:hAnsiTheme="minorHAnsi" w:cstheme="minorHAnsi"/>
              </w:rPr>
            </w:pPr>
          </w:p>
        </w:tc>
      </w:tr>
      <w:tr w:rsidR="000275B8" w:rsidRPr="007D7D01" w:rsidTr="00601920">
        <w:trPr>
          <w:trHeight w:val="293"/>
        </w:trPr>
        <w:tc>
          <w:tcPr>
            <w:tcW w:w="5182" w:type="dxa"/>
          </w:tcPr>
          <w:p w:rsidR="0023796A" w:rsidRPr="00CF3CF0" w:rsidRDefault="00410DAE" w:rsidP="00601920">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1</w:t>
            </w:r>
            <w:r w:rsidR="004A0AA6" w:rsidRPr="00CF3CF0">
              <w:rPr>
                <w:rFonts w:asciiTheme="minorHAnsi" w:hAnsiTheme="minorHAnsi" w:cstheme="minorHAnsi"/>
                <w:color w:val="231F20"/>
                <w:sz w:val="19"/>
                <w:szCs w:val="19"/>
              </w:rPr>
              <w:t>0</w:t>
            </w:r>
            <w:r w:rsidRPr="00CF3CF0">
              <w:rPr>
                <w:rFonts w:asciiTheme="minorHAnsi" w:hAnsiTheme="minorHAnsi" w:cstheme="minorHAnsi"/>
                <w:color w:val="231F20"/>
                <w:sz w:val="19"/>
                <w:szCs w:val="19"/>
              </w:rPr>
              <w:t>. Future meeting agenda suggestions</w:t>
            </w:r>
          </w:p>
        </w:tc>
        <w:tc>
          <w:tcPr>
            <w:tcW w:w="6570" w:type="dxa"/>
          </w:tcPr>
          <w:p w:rsidR="000275B8" w:rsidRPr="00CF3CF0" w:rsidRDefault="000275B8">
            <w:pPr>
              <w:pStyle w:val="TableParagraph"/>
              <w:rPr>
                <w:rFonts w:asciiTheme="minorHAnsi" w:hAnsiTheme="minorHAnsi" w:cstheme="minorHAnsi"/>
                <w:sz w:val="19"/>
                <w:szCs w:val="19"/>
              </w:rPr>
            </w:pPr>
          </w:p>
        </w:tc>
        <w:tc>
          <w:tcPr>
            <w:tcW w:w="1778" w:type="dxa"/>
          </w:tcPr>
          <w:p w:rsidR="000275B8" w:rsidRPr="00CF3CF0" w:rsidRDefault="000275B8" w:rsidP="000275B8">
            <w:pPr>
              <w:pStyle w:val="TableParagraph"/>
              <w:rPr>
                <w:rFonts w:asciiTheme="minorHAnsi" w:hAnsiTheme="minorHAnsi" w:cstheme="minorHAnsi"/>
                <w:sz w:val="19"/>
                <w:szCs w:val="19"/>
              </w:rPr>
            </w:pPr>
          </w:p>
        </w:tc>
      </w:tr>
      <w:tr w:rsidR="000275B8" w:rsidRPr="007D7D01" w:rsidTr="00601920">
        <w:trPr>
          <w:trHeight w:val="54"/>
        </w:trPr>
        <w:tc>
          <w:tcPr>
            <w:tcW w:w="5182" w:type="dxa"/>
          </w:tcPr>
          <w:p w:rsidR="000275B8" w:rsidRPr="00CF3CF0" w:rsidRDefault="00410DAE" w:rsidP="004A0AA6">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t>1</w:t>
            </w:r>
            <w:r w:rsidR="00BC4DA6" w:rsidRPr="00CF3CF0">
              <w:rPr>
                <w:rFonts w:asciiTheme="minorHAnsi" w:hAnsiTheme="minorHAnsi" w:cstheme="minorHAnsi"/>
                <w:color w:val="231F20"/>
                <w:sz w:val="19"/>
                <w:szCs w:val="19"/>
              </w:rPr>
              <w:t>1</w:t>
            </w:r>
            <w:r w:rsidRPr="00CF3CF0">
              <w:rPr>
                <w:rFonts w:asciiTheme="minorHAnsi" w:hAnsiTheme="minorHAnsi" w:cstheme="minorHAnsi"/>
                <w:color w:val="231F20"/>
                <w:sz w:val="19"/>
                <w:szCs w:val="19"/>
              </w:rPr>
              <w:t>. Announcements</w:t>
            </w:r>
          </w:p>
        </w:tc>
        <w:tc>
          <w:tcPr>
            <w:tcW w:w="6570" w:type="dxa"/>
          </w:tcPr>
          <w:p w:rsidR="000275B8" w:rsidRPr="00CF3CF0" w:rsidRDefault="000275B8" w:rsidP="000275B8">
            <w:pPr>
              <w:pStyle w:val="TableParagraph"/>
              <w:rPr>
                <w:rFonts w:asciiTheme="minorHAnsi" w:hAnsiTheme="minorHAnsi" w:cstheme="minorHAnsi"/>
                <w:sz w:val="19"/>
                <w:szCs w:val="19"/>
              </w:rPr>
            </w:pPr>
          </w:p>
        </w:tc>
        <w:tc>
          <w:tcPr>
            <w:tcW w:w="1778" w:type="dxa"/>
          </w:tcPr>
          <w:p w:rsidR="000275B8" w:rsidRPr="00CF3CF0" w:rsidRDefault="000275B8" w:rsidP="000275B8">
            <w:pPr>
              <w:pStyle w:val="TableParagraph"/>
              <w:rPr>
                <w:rFonts w:asciiTheme="minorHAnsi" w:hAnsiTheme="minorHAnsi" w:cstheme="minorHAnsi"/>
                <w:sz w:val="19"/>
                <w:szCs w:val="19"/>
              </w:rPr>
            </w:pPr>
          </w:p>
        </w:tc>
      </w:tr>
      <w:tr w:rsidR="000275B8" w:rsidRPr="007D7D01" w:rsidTr="00BC4DA6">
        <w:trPr>
          <w:trHeight w:val="486"/>
        </w:trPr>
        <w:tc>
          <w:tcPr>
            <w:tcW w:w="5182" w:type="dxa"/>
          </w:tcPr>
          <w:p w:rsidR="000275B8" w:rsidRPr="00CF3CF0" w:rsidRDefault="00BC4DA6" w:rsidP="000275B8">
            <w:pPr>
              <w:pStyle w:val="TableParagraph"/>
              <w:spacing w:before="16"/>
              <w:ind w:left="134"/>
              <w:rPr>
                <w:rFonts w:asciiTheme="minorHAnsi" w:hAnsiTheme="minorHAnsi" w:cstheme="minorHAnsi"/>
                <w:color w:val="231F20"/>
                <w:sz w:val="19"/>
                <w:szCs w:val="19"/>
              </w:rPr>
            </w:pPr>
            <w:r w:rsidRPr="00CF3CF0">
              <w:rPr>
                <w:rFonts w:asciiTheme="minorHAnsi" w:hAnsiTheme="minorHAnsi" w:cstheme="minorHAnsi"/>
                <w:color w:val="231F20"/>
                <w:sz w:val="19"/>
                <w:szCs w:val="19"/>
              </w:rPr>
              <w:lastRenderedPageBreak/>
              <w:t>12</w:t>
            </w:r>
            <w:r w:rsidR="00410DAE" w:rsidRPr="00CF3CF0">
              <w:rPr>
                <w:rFonts w:asciiTheme="minorHAnsi" w:hAnsiTheme="minorHAnsi" w:cstheme="minorHAnsi"/>
                <w:color w:val="231F20"/>
                <w:sz w:val="19"/>
                <w:szCs w:val="19"/>
              </w:rPr>
              <w:t>. Adjournment/Next Meeting</w:t>
            </w:r>
          </w:p>
        </w:tc>
        <w:tc>
          <w:tcPr>
            <w:tcW w:w="6570" w:type="dxa"/>
          </w:tcPr>
          <w:p w:rsidR="008B2594" w:rsidRPr="00CF3CF0" w:rsidRDefault="003166A8" w:rsidP="0023796A">
            <w:pPr>
              <w:pStyle w:val="Header"/>
              <w:rPr>
                <w:rFonts w:asciiTheme="minorHAnsi" w:hAnsiTheme="minorHAnsi" w:cstheme="minorHAnsi"/>
                <w:sz w:val="19"/>
                <w:szCs w:val="19"/>
              </w:rPr>
            </w:pPr>
            <w:r w:rsidRPr="00CF3CF0">
              <w:rPr>
                <w:rFonts w:asciiTheme="minorHAnsi" w:hAnsiTheme="minorHAnsi" w:cstheme="minorHAnsi"/>
                <w:sz w:val="19"/>
                <w:szCs w:val="19"/>
              </w:rPr>
              <w:t>Next meeting</w:t>
            </w:r>
            <w:r w:rsidR="004D6B8A" w:rsidRPr="00CF3CF0">
              <w:rPr>
                <w:rFonts w:asciiTheme="minorHAnsi" w:hAnsiTheme="minorHAnsi" w:cstheme="minorHAnsi"/>
                <w:sz w:val="19"/>
                <w:szCs w:val="19"/>
              </w:rPr>
              <w:t>:</w:t>
            </w:r>
            <w:r w:rsidRPr="00CF3CF0">
              <w:rPr>
                <w:rFonts w:asciiTheme="minorHAnsi" w:hAnsiTheme="minorHAnsi" w:cstheme="minorHAnsi"/>
                <w:sz w:val="19"/>
                <w:szCs w:val="19"/>
              </w:rPr>
              <w:t xml:space="preserve"> </w:t>
            </w:r>
            <w:r w:rsidR="0023796A" w:rsidRPr="00CF3CF0">
              <w:rPr>
                <w:rFonts w:asciiTheme="minorHAnsi" w:hAnsiTheme="minorHAnsi" w:cstheme="minorHAnsi"/>
                <w:sz w:val="19"/>
                <w:szCs w:val="19"/>
              </w:rPr>
              <w:t>March 18, 2020</w:t>
            </w:r>
          </w:p>
        </w:tc>
        <w:tc>
          <w:tcPr>
            <w:tcW w:w="1778" w:type="dxa"/>
          </w:tcPr>
          <w:p w:rsidR="000275B8" w:rsidRPr="00CF3CF0" w:rsidRDefault="000275B8" w:rsidP="000275B8">
            <w:pPr>
              <w:pStyle w:val="TableParagraph"/>
              <w:rPr>
                <w:rFonts w:asciiTheme="minorHAnsi" w:hAnsiTheme="minorHAnsi" w:cstheme="minorHAnsi"/>
                <w:sz w:val="19"/>
                <w:szCs w:val="19"/>
              </w:rPr>
            </w:pPr>
          </w:p>
        </w:tc>
      </w:tr>
    </w:tbl>
    <w:p w:rsidR="00094F95" w:rsidRPr="001A2351" w:rsidRDefault="00094F95" w:rsidP="00527277">
      <w:pPr>
        <w:adjustRightInd w:val="0"/>
        <w:rPr>
          <w:sz w:val="18"/>
        </w:rPr>
      </w:pPr>
    </w:p>
    <w:sectPr w:rsidR="00094F95" w:rsidRPr="001A2351" w:rsidSect="00527277">
      <w:headerReference w:type="default" r:id="rId8"/>
      <w:type w:val="continuous"/>
      <w:pgSz w:w="15840" w:h="12240" w:orient="landscape" w:code="1"/>
      <w:pgMar w:top="547" w:right="907" w:bottom="90" w:left="907" w:header="2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94" w:rsidRDefault="008B2594" w:rsidP="00B26E4C">
      <w:r>
        <w:separator/>
      </w:r>
    </w:p>
  </w:endnote>
  <w:endnote w:type="continuationSeparator" w:id="0">
    <w:p w:rsidR="008B2594" w:rsidRDefault="008B2594" w:rsidP="00B2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wiss721BT-RomanCondense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94" w:rsidRDefault="008B2594" w:rsidP="00B26E4C">
      <w:r>
        <w:separator/>
      </w:r>
    </w:p>
  </w:footnote>
  <w:footnote w:type="continuationSeparator" w:id="0">
    <w:p w:rsidR="008B2594" w:rsidRDefault="008B2594" w:rsidP="00B2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6B" w:rsidRPr="006C7C6B" w:rsidRDefault="006C7C6B" w:rsidP="006C7C6B">
    <w:pPr>
      <w:contextualSpacing/>
      <w:jc w:val="center"/>
      <w:rPr>
        <w:b/>
        <w:sz w:val="20"/>
        <w:szCs w:val="20"/>
      </w:rPr>
    </w:pPr>
    <w:r w:rsidRPr="006C7C6B">
      <w:rPr>
        <w:b/>
        <w:sz w:val="20"/>
        <w:szCs w:val="20"/>
      </w:rPr>
      <w:t>Budget &amp; Resources Committee</w:t>
    </w:r>
  </w:p>
  <w:p w:rsidR="006C7C6B" w:rsidRPr="006C7C6B" w:rsidRDefault="006C7C6B" w:rsidP="006C7C6B">
    <w:pPr>
      <w:contextualSpacing/>
      <w:jc w:val="center"/>
      <w:rPr>
        <w:b/>
        <w:sz w:val="20"/>
        <w:szCs w:val="20"/>
      </w:rPr>
    </w:pPr>
    <w:r w:rsidRPr="006C7C6B">
      <w:rPr>
        <w:b/>
        <w:sz w:val="20"/>
        <w:szCs w:val="20"/>
      </w:rPr>
      <w:t>Agenda</w:t>
    </w:r>
  </w:p>
  <w:p w:rsidR="006C7C6B" w:rsidRPr="006C7C6B" w:rsidRDefault="0023796A" w:rsidP="006C7C6B">
    <w:pPr>
      <w:contextualSpacing/>
      <w:jc w:val="center"/>
      <w:rPr>
        <w:b/>
        <w:sz w:val="20"/>
        <w:szCs w:val="20"/>
      </w:rPr>
    </w:pPr>
    <w:r>
      <w:rPr>
        <w:b/>
        <w:sz w:val="20"/>
        <w:szCs w:val="20"/>
      </w:rPr>
      <w:t>February 19, 2020</w:t>
    </w:r>
    <w:r w:rsidR="006C7C6B" w:rsidRPr="006C7C6B">
      <w:rPr>
        <w:b/>
        <w:sz w:val="20"/>
        <w:szCs w:val="20"/>
      </w:rPr>
      <w:t xml:space="preserve"> From 2:30pm to 4pm </w:t>
    </w:r>
  </w:p>
  <w:p w:rsidR="00020E52" w:rsidRDefault="006C7C6B" w:rsidP="006C7C6B">
    <w:pPr>
      <w:jc w:val="center"/>
    </w:pPr>
    <w:r w:rsidRPr="006C7C6B">
      <w:rPr>
        <w:b/>
        <w:sz w:val="20"/>
        <w:szCs w:val="20"/>
      </w:rPr>
      <w:t>MCW-312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6C00"/>
    <w:multiLevelType w:val="multilevel"/>
    <w:tmpl w:val="0C8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2826"/>
    <w:multiLevelType w:val="hybridMultilevel"/>
    <w:tmpl w:val="A7CCC508"/>
    <w:lvl w:ilvl="0" w:tplc="ADBA59AC">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 w15:restartNumberingAfterBreak="0">
    <w:nsid w:val="16D822F9"/>
    <w:multiLevelType w:val="hybridMultilevel"/>
    <w:tmpl w:val="931658DC"/>
    <w:lvl w:ilvl="0" w:tplc="2D0A5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905AD"/>
    <w:multiLevelType w:val="multilevel"/>
    <w:tmpl w:val="DAC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A3009"/>
    <w:multiLevelType w:val="hybridMultilevel"/>
    <w:tmpl w:val="D75E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5455"/>
    <w:multiLevelType w:val="hybridMultilevel"/>
    <w:tmpl w:val="FAA06D58"/>
    <w:lvl w:ilvl="0" w:tplc="04090015">
      <w:start w:val="1"/>
      <w:numFmt w:val="upperLetter"/>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6" w15:restartNumberingAfterBreak="0">
    <w:nsid w:val="27907305"/>
    <w:multiLevelType w:val="hybridMultilevel"/>
    <w:tmpl w:val="FAA06D58"/>
    <w:lvl w:ilvl="0" w:tplc="04090015">
      <w:start w:val="1"/>
      <w:numFmt w:val="upperLetter"/>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7" w15:restartNumberingAfterBreak="0">
    <w:nsid w:val="2C6D09A9"/>
    <w:multiLevelType w:val="hybridMultilevel"/>
    <w:tmpl w:val="65004E90"/>
    <w:lvl w:ilvl="0" w:tplc="8A4E33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C65AAE"/>
    <w:multiLevelType w:val="hybridMultilevel"/>
    <w:tmpl w:val="A2FAB9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C175F"/>
    <w:multiLevelType w:val="hybridMultilevel"/>
    <w:tmpl w:val="E116BC5C"/>
    <w:lvl w:ilvl="0" w:tplc="DE74B3DE">
      <w:start w:val="1"/>
      <w:numFmt w:val="decimal"/>
      <w:lvlText w:val="%1."/>
      <w:lvlJc w:val="left"/>
      <w:pPr>
        <w:ind w:left="720" w:hanging="360"/>
      </w:pPr>
      <w:rPr>
        <w:rFonts w:ascii="Verdana" w:hAnsi="Verdana" w:cs="Times New Roman"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3092"/>
    <w:multiLevelType w:val="hybridMultilevel"/>
    <w:tmpl w:val="0C9647B0"/>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1" w15:restartNumberingAfterBreak="0">
    <w:nsid w:val="3A115D03"/>
    <w:multiLevelType w:val="hybridMultilevel"/>
    <w:tmpl w:val="1228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807"/>
    <w:multiLevelType w:val="hybridMultilevel"/>
    <w:tmpl w:val="5E68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E61D5"/>
    <w:multiLevelType w:val="hybridMultilevel"/>
    <w:tmpl w:val="F87C6C62"/>
    <w:lvl w:ilvl="0" w:tplc="51848B42">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1452BA"/>
    <w:multiLevelType w:val="hybridMultilevel"/>
    <w:tmpl w:val="B506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74B11"/>
    <w:multiLevelType w:val="hybridMultilevel"/>
    <w:tmpl w:val="607A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483D"/>
    <w:multiLevelType w:val="hybridMultilevel"/>
    <w:tmpl w:val="789C9E18"/>
    <w:lvl w:ilvl="0" w:tplc="918E9FE4">
      <w:numFmt w:val="bullet"/>
      <w:lvlText w:val=""/>
      <w:lvlJc w:val="left"/>
      <w:pPr>
        <w:ind w:left="1080" w:hanging="360"/>
      </w:pPr>
      <w:rPr>
        <w:rFonts w:ascii="Symbol" w:eastAsia="Calibri" w:hAnsi="Symbol" w:cstheme="minorHAns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A05BA8"/>
    <w:multiLevelType w:val="hybridMultilevel"/>
    <w:tmpl w:val="23783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A9B"/>
    <w:multiLevelType w:val="hybridMultilevel"/>
    <w:tmpl w:val="F1A0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2"/>
  </w:num>
  <w:num w:numId="5">
    <w:abstractNumId w:val="7"/>
  </w:num>
  <w:num w:numId="6">
    <w:abstractNumId w:val="4"/>
  </w:num>
  <w:num w:numId="7">
    <w:abstractNumId w:val="8"/>
  </w:num>
  <w:num w:numId="8">
    <w:abstractNumId w:val="14"/>
  </w:num>
  <w:num w:numId="9">
    <w:abstractNumId w:val="12"/>
  </w:num>
  <w:num w:numId="10">
    <w:abstractNumId w:val="16"/>
  </w:num>
  <w:num w:numId="11">
    <w:abstractNumId w:val="13"/>
  </w:num>
  <w:num w:numId="12">
    <w:abstractNumId w:val="3"/>
  </w:num>
  <w:num w:numId="13">
    <w:abstractNumId w:val="0"/>
  </w:num>
  <w:num w:numId="14">
    <w:abstractNumId w:val="18"/>
  </w:num>
  <w:num w:numId="15">
    <w:abstractNumId w:val="10"/>
  </w:num>
  <w:num w:numId="16">
    <w:abstractNumId w:val="17"/>
  </w:num>
  <w:num w:numId="17">
    <w:abstractNumId w:val="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F4"/>
    <w:rsid w:val="00020E52"/>
    <w:rsid w:val="000275B8"/>
    <w:rsid w:val="00051A5A"/>
    <w:rsid w:val="00084C86"/>
    <w:rsid w:val="000852A8"/>
    <w:rsid w:val="00094F95"/>
    <w:rsid w:val="000A0274"/>
    <w:rsid w:val="000C4D3F"/>
    <w:rsid w:val="0011204E"/>
    <w:rsid w:val="00115721"/>
    <w:rsid w:val="00134738"/>
    <w:rsid w:val="00154F0A"/>
    <w:rsid w:val="001639B2"/>
    <w:rsid w:val="001854C9"/>
    <w:rsid w:val="0018722F"/>
    <w:rsid w:val="001A2351"/>
    <w:rsid w:val="001A3D7F"/>
    <w:rsid w:val="001B3970"/>
    <w:rsid w:val="001D6AB2"/>
    <w:rsid w:val="0020234B"/>
    <w:rsid w:val="002211E3"/>
    <w:rsid w:val="002235FC"/>
    <w:rsid w:val="0023796A"/>
    <w:rsid w:val="002659F4"/>
    <w:rsid w:val="002E33F6"/>
    <w:rsid w:val="00302748"/>
    <w:rsid w:val="00303237"/>
    <w:rsid w:val="003100BE"/>
    <w:rsid w:val="003166A8"/>
    <w:rsid w:val="0034132F"/>
    <w:rsid w:val="003508EE"/>
    <w:rsid w:val="00371C46"/>
    <w:rsid w:val="00386AAA"/>
    <w:rsid w:val="003B5A28"/>
    <w:rsid w:val="003C135E"/>
    <w:rsid w:val="003E370D"/>
    <w:rsid w:val="003E79FB"/>
    <w:rsid w:val="004036C2"/>
    <w:rsid w:val="00410DAE"/>
    <w:rsid w:val="00414E5D"/>
    <w:rsid w:val="00420259"/>
    <w:rsid w:val="00456126"/>
    <w:rsid w:val="00456241"/>
    <w:rsid w:val="00475A6D"/>
    <w:rsid w:val="0047680B"/>
    <w:rsid w:val="00481380"/>
    <w:rsid w:val="004A0AA6"/>
    <w:rsid w:val="004D6B8A"/>
    <w:rsid w:val="004F61E8"/>
    <w:rsid w:val="00527277"/>
    <w:rsid w:val="00543092"/>
    <w:rsid w:val="005566F1"/>
    <w:rsid w:val="005809C5"/>
    <w:rsid w:val="005D3B6D"/>
    <w:rsid w:val="005F47A6"/>
    <w:rsid w:val="00601920"/>
    <w:rsid w:val="00650710"/>
    <w:rsid w:val="006532CA"/>
    <w:rsid w:val="006862A5"/>
    <w:rsid w:val="006B3222"/>
    <w:rsid w:val="006C28A8"/>
    <w:rsid w:val="006C7C6B"/>
    <w:rsid w:val="00730CB2"/>
    <w:rsid w:val="0076433C"/>
    <w:rsid w:val="007D4459"/>
    <w:rsid w:val="007D7D01"/>
    <w:rsid w:val="007E39FF"/>
    <w:rsid w:val="007E4989"/>
    <w:rsid w:val="00844CA4"/>
    <w:rsid w:val="008649D0"/>
    <w:rsid w:val="00875D54"/>
    <w:rsid w:val="008A1E7F"/>
    <w:rsid w:val="008A25D7"/>
    <w:rsid w:val="008A3467"/>
    <w:rsid w:val="008B2594"/>
    <w:rsid w:val="008B708F"/>
    <w:rsid w:val="008D1188"/>
    <w:rsid w:val="008D2B4D"/>
    <w:rsid w:val="0092571C"/>
    <w:rsid w:val="00944633"/>
    <w:rsid w:val="00965C92"/>
    <w:rsid w:val="009A3681"/>
    <w:rsid w:val="009D2BFF"/>
    <w:rsid w:val="009F716A"/>
    <w:rsid w:val="00A0433F"/>
    <w:rsid w:val="00A053E3"/>
    <w:rsid w:val="00A064F6"/>
    <w:rsid w:val="00A10785"/>
    <w:rsid w:val="00A31F4C"/>
    <w:rsid w:val="00A32ECE"/>
    <w:rsid w:val="00A456AE"/>
    <w:rsid w:val="00B02677"/>
    <w:rsid w:val="00B26E4C"/>
    <w:rsid w:val="00B37323"/>
    <w:rsid w:val="00B42FC3"/>
    <w:rsid w:val="00B534DE"/>
    <w:rsid w:val="00B575DA"/>
    <w:rsid w:val="00B80D03"/>
    <w:rsid w:val="00BC4DA6"/>
    <w:rsid w:val="00BD0C9A"/>
    <w:rsid w:val="00BE4E50"/>
    <w:rsid w:val="00BE6932"/>
    <w:rsid w:val="00BF0EA4"/>
    <w:rsid w:val="00C0648F"/>
    <w:rsid w:val="00C455E2"/>
    <w:rsid w:val="00C61299"/>
    <w:rsid w:val="00C81E9A"/>
    <w:rsid w:val="00CB20EE"/>
    <w:rsid w:val="00CC59A5"/>
    <w:rsid w:val="00CD14CB"/>
    <w:rsid w:val="00CE5B6B"/>
    <w:rsid w:val="00CF3CF0"/>
    <w:rsid w:val="00D15D0C"/>
    <w:rsid w:val="00D55AAF"/>
    <w:rsid w:val="00D73717"/>
    <w:rsid w:val="00DE07F8"/>
    <w:rsid w:val="00E115AF"/>
    <w:rsid w:val="00E20811"/>
    <w:rsid w:val="00E92F2F"/>
    <w:rsid w:val="00EE3A6B"/>
    <w:rsid w:val="00F3734D"/>
    <w:rsid w:val="00FD05E5"/>
    <w:rsid w:val="00FF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763DFB5-ED16-49D4-8C1A-FF4C2699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5465" w:right="5465"/>
      <w:jc w:val="center"/>
      <w:outlineLvl w:val="0"/>
    </w:pPr>
    <w:rPr>
      <w:rFonts w:ascii="Calibri Light" w:eastAsia="Calibri Light" w:hAnsi="Calibri Light" w:cs="Calibri Light"/>
      <w:sz w:val="26"/>
      <w:szCs w:val="26"/>
    </w:rPr>
  </w:style>
  <w:style w:type="paragraph" w:styleId="Heading3">
    <w:name w:val="heading 3"/>
    <w:basedOn w:val="Normal"/>
    <w:next w:val="Normal"/>
    <w:link w:val="Heading3Char"/>
    <w:uiPriority w:val="9"/>
    <w:semiHidden/>
    <w:unhideWhenUsed/>
    <w:qFormat/>
    <w:rsid w:val="000275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4C"/>
    <w:rPr>
      <w:rFonts w:ascii="Segoe UI" w:eastAsia="Calibri" w:hAnsi="Segoe UI" w:cs="Segoe UI"/>
      <w:sz w:val="18"/>
      <w:szCs w:val="18"/>
    </w:rPr>
  </w:style>
  <w:style w:type="paragraph" w:styleId="Header">
    <w:name w:val="header"/>
    <w:basedOn w:val="Normal"/>
    <w:link w:val="HeaderChar"/>
    <w:uiPriority w:val="99"/>
    <w:unhideWhenUsed/>
    <w:rsid w:val="00B26E4C"/>
    <w:pPr>
      <w:tabs>
        <w:tab w:val="center" w:pos="4680"/>
        <w:tab w:val="right" w:pos="9360"/>
      </w:tabs>
    </w:pPr>
  </w:style>
  <w:style w:type="character" w:customStyle="1" w:styleId="HeaderChar">
    <w:name w:val="Header Char"/>
    <w:basedOn w:val="DefaultParagraphFont"/>
    <w:link w:val="Header"/>
    <w:uiPriority w:val="99"/>
    <w:rsid w:val="00B26E4C"/>
    <w:rPr>
      <w:rFonts w:ascii="Calibri" w:eastAsia="Calibri" w:hAnsi="Calibri" w:cs="Calibri"/>
    </w:rPr>
  </w:style>
  <w:style w:type="paragraph" w:styleId="Footer">
    <w:name w:val="footer"/>
    <w:basedOn w:val="Normal"/>
    <w:link w:val="FooterChar"/>
    <w:uiPriority w:val="99"/>
    <w:unhideWhenUsed/>
    <w:rsid w:val="00B26E4C"/>
    <w:pPr>
      <w:tabs>
        <w:tab w:val="center" w:pos="4680"/>
        <w:tab w:val="right" w:pos="9360"/>
      </w:tabs>
    </w:pPr>
  </w:style>
  <w:style w:type="character" w:customStyle="1" w:styleId="FooterChar">
    <w:name w:val="Footer Char"/>
    <w:basedOn w:val="DefaultParagraphFont"/>
    <w:link w:val="Footer"/>
    <w:uiPriority w:val="99"/>
    <w:rsid w:val="00B26E4C"/>
    <w:rPr>
      <w:rFonts w:ascii="Calibri" w:eastAsia="Calibri" w:hAnsi="Calibri" w:cs="Calibri"/>
    </w:rPr>
  </w:style>
  <w:style w:type="character" w:styleId="Hyperlink">
    <w:name w:val="Hyperlink"/>
    <w:basedOn w:val="DefaultParagraphFont"/>
    <w:uiPriority w:val="99"/>
    <w:unhideWhenUsed/>
    <w:rsid w:val="001A3D7F"/>
    <w:rPr>
      <w:color w:val="0000FF"/>
      <w:u w:val="single"/>
    </w:rPr>
  </w:style>
  <w:style w:type="paragraph" w:styleId="Revision">
    <w:name w:val="Revision"/>
    <w:hidden/>
    <w:uiPriority w:val="99"/>
    <w:semiHidden/>
    <w:rsid w:val="00CD14CB"/>
    <w:pPr>
      <w:widowControl/>
      <w:autoSpaceDE/>
      <w:autoSpaceDN/>
    </w:pPr>
    <w:rPr>
      <w:rFonts w:ascii="Calibri" w:eastAsia="Calibri" w:hAnsi="Calibri" w:cs="Calibri"/>
    </w:rPr>
  </w:style>
  <w:style w:type="character" w:customStyle="1" w:styleId="Heading3Char">
    <w:name w:val="Heading 3 Char"/>
    <w:basedOn w:val="DefaultParagraphFont"/>
    <w:link w:val="Heading3"/>
    <w:uiPriority w:val="9"/>
    <w:semiHidden/>
    <w:rsid w:val="000275B8"/>
    <w:rPr>
      <w:rFonts w:asciiTheme="majorHAnsi" w:eastAsiaTheme="majorEastAsia" w:hAnsiTheme="majorHAnsi" w:cstheme="majorBidi"/>
      <w:color w:val="243F60" w:themeColor="accent1" w:themeShade="7F"/>
      <w:sz w:val="24"/>
      <w:szCs w:val="24"/>
    </w:rPr>
  </w:style>
  <w:style w:type="paragraph" w:customStyle="1" w:styleId="OrganizationText">
    <w:name w:val="Organization Text"/>
    <w:basedOn w:val="Normal"/>
    <w:uiPriority w:val="99"/>
    <w:rsid w:val="00E20811"/>
    <w:pPr>
      <w:tabs>
        <w:tab w:val="right" w:leader="dot" w:pos="3120"/>
      </w:tabs>
      <w:adjustRightInd w:val="0"/>
      <w:spacing w:line="220" w:lineRule="atLeast"/>
      <w:ind w:right="4"/>
      <w:textAlignment w:val="center"/>
    </w:pPr>
    <w:rPr>
      <w:rFonts w:ascii="Swiss721BT-RomanCondensed" w:eastAsiaTheme="minorEastAsia" w:hAnsi="Swiss721BT-RomanCondensed" w:cs="Swiss721BT-RomanCondensed"/>
      <w:color w:val="000000"/>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072">
      <w:bodyDiv w:val="1"/>
      <w:marLeft w:val="0"/>
      <w:marRight w:val="0"/>
      <w:marTop w:val="0"/>
      <w:marBottom w:val="0"/>
      <w:divBdr>
        <w:top w:val="none" w:sz="0" w:space="0" w:color="auto"/>
        <w:left w:val="none" w:sz="0" w:space="0" w:color="auto"/>
        <w:bottom w:val="none" w:sz="0" w:space="0" w:color="auto"/>
        <w:right w:val="none" w:sz="0" w:space="0" w:color="auto"/>
      </w:divBdr>
    </w:div>
    <w:div w:id="189631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427F-AEC6-4C65-AD99-4F21FEE2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2019_2025_participatory_governance_handbook_0.pdf</vt:lpstr>
    </vt:vector>
  </TitlesOfParts>
  <Company>Ventura College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2019_2025_participatory_governance_handbook_0.pdf</dc:title>
  <dc:creator>mjacobs</dc:creator>
  <cp:lastModifiedBy>Maureen Jacobs</cp:lastModifiedBy>
  <cp:revision>2</cp:revision>
  <cp:lastPrinted>2020-02-13T16:29:00Z</cp:lastPrinted>
  <dcterms:created xsi:type="dcterms:W3CDTF">2020-02-19T15:53:00Z</dcterms:created>
  <dcterms:modified xsi:type="dcterms:W3CDTF">2020-02-19T15:53:00Z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PDFium</vt:lpwstr>
  </property>
  <property fmtid="{D5CDD505-2E9C-101B-9397-08002B2CF9AE}" pid="4" name="LastSaved">
    <vt:filetime>2019-09-10T00:00:00Z</vt:filetime>
  </property>
</Properties>
</file>