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EB" w:rsidRDefault="003030EB" w:rsidP="003030EB">
      <w:bookmarkStart w:id="0" w:name="_GoBack"/>
      <w:bookmarkEnd w:id="0"/>
    </w:p>
    <w:p w:rsidR="003030EB" w:rsidRDefault="003030EB" w:rsidP="003030EB">
      <w:pPr>
        <w:pStyle w:val="ListParagraph"/>
      </w:pPr>
    </w:p>
    <w:p w:rsidR="003030EB" w:rsidRDefault="003030EB" w:rsidP="003030EB">
      <w:pPr>
        <w:pStyle w:val="ListParagraph"/>
        <w:numPr>
          <w:ilvl w:val="0"/>
          <w:numId w:val="1"/>
        </w:numPr>
      </w:pPr>
      <w:r>
        <w:t xml:space="preserve">Initiative ID: 1301 Online Tutoring Link to Data: No data exist for this new </w:t>
      </w:r>
      <w:proofErr w:type="gramStart"/>
      <w:r>
        <w:t>program,</w:t>
      </w:r>
      <w:proofErr w:type="gramEnd"/>
      <w:r>
        <w:t xml:space="preserve"> however, data on tutoring center demand demonstrates a need. This initiative links to the tutoring center requests. Expected Benefits: Achieve high quality tutoring to support our students in an online format. Goal: This goal would assist us in achieving the requirements to provide all student services online if we offer substantial online education. This goal assists the achievement of the district goal to offer competitive quality distance education. Performance Indicator: Improved student success and retention. Timeline: 2014-2015 Funding Resource Category: Grant Funds Ranking: H </w:t>
      </w:r>
    </w:p>
    <w:p w:rsidR="00411AC2" w:rsidRDefault="00411AC2" w:rsidP="00411AC2">
      <w:pPr>
        <w:pStyle w:val="ListParagraph"/>
      </w:pPr>
    </w:p>
    <w:p w:rsidR="00411AC2" w:rsidRDefault="00411AC2" w:rsidP="00411AC2">
      <w:pPr>
        <w:pStyle w:val="ListParagraph"/>
      </w:pPr>
      <w:r>
        <w:t xml:space="preserve">Goal: </w:t>
      </w:r>
      <w:r w:rsidRPr="00411AC2">
        <w:rPr>
          <w:b/>
        </w:rPr>
        <w:t>Met</w:t>
      </w:r>
      <w:r>
        <w:rPr>
          <w:b/>
        </w:rPr>
        <w:t xml:space="preserve"> Conditionally</w:t>
      </w:r>
      <w:r w:rsidRPr="00411AC2">
        <w:rPr>
          <w:b/>
        </w:rPr>
        <w:t>.</w:t>
      </w:r>
      <w:r>
        <w:rPr>
          <w:b/>
        </w:rPr>
        <w:t xml:space="preserve"> </w:t>
      </w:r>
      <w:r>
        <w:t xml:space="preserve">Smart Thinking Tutoring has been very successful with strong and increasing usage among DE students; however, the data is not disaggregated for student success and retention by individual users so we cannot conclude with certainty that the students that used Smart Thinking have better indicators of success and retention. </w:t>
      </w:r>
    </w:p>
    <w:p w:rsidR="00411AC2" w:rsidRDefault="00411AC2" w:rsidP="00411AC2">
      <w:pPr>
        <w:pStyle w:val="ListParagraph"/>
      </w:pPr>
    </w:p>
    <w:tbl>
      <w:tblPr>
        <w:tblStyle w:val="TableGrid"/>
        <w:tblW w:w="7919" w:type="dxa"/>
        <w:jc w:val="center"/>
        <w:tblLook w:val="04A0" w:firstRow="1" w:lastRow="0" w:firstColumn="1" w:lastColumn="0" w:noHBand="0" w:noVBand="1"/>
      </w:tblPr>
      <w:tblGrid>
        <w:gridCol w:w="1336"/>
        <w:gridCol w:w="1165"/>
        <w:gridCol w:w="830"/>
        <w:gridCol w:w="1039"/>
        <w:gridCol w:w="1055"/>
        <w:gridCol w:w="967"/>
        <w:gridCol w:w="1527"/>
      </w:tblGrid>
      <w:tr w:rsidR="00411AC2" w:rsidRPr="00411AC2" w:rsidTr="00411AC2">
        <w:trPr>
          <w:trHeight w:val="182"/>
          <w:jc w:val="center"/>
        </w:trPr>
        <w:tc>
          <w:tcPr>
            <w:tcW w:w="3331" w:type="dxa"/>
            <w:gridSpan w:val="3"/>
            <w:noWrap/>
            <w:hideMark/>
          </w:tcPr>
          <w:p w:rsidR="00411AC2" w:rsidRPr="00411AC2" w:rsidRDefault="00411AC2" w:rsidP="00411AC2">
            <w:pPr>
              <w:rPr>
                <w:rFonts w:ascii="Calibri" w:eastAsia="Times New Roman" w:hAnsi="Calibri" w:cs="Times New Roman"/>
                <w:b/>
                <w:bCs/>
                <w:color w:val="000000"/>
                <w:sz w:val="20"/>
                <w:szCs w:val="20"/>
              </w:rPr>
            </w:pPr>
            <w:r w:rsidRPr="00411AC2">
              <w:rPr>
                <w:rFonts w:ascii="Calibri" w:eastAsia="Times New Roman" w:hAnsi="Calibri" w:cs="Times New Roman"/>
                <w:b/>
                <w:bCs/>
                <w:color w:val="000000"/>
                <w:sz w:val="20"/>
                <w:szCs w:val="20"/>
              </w:rPr>
              <w:t>Ventura College - Usage History</w:t>
            </w:r>
          </w:p>
        </w:tc>
        <w:tc>
          <w:tcPr>
            <w:tcW w:w="1039" w:type="dxa"/>
            <w:noWrap/>
            <w:hideMark/>
          </w:tcPr>
          <w:p w:rsidR="00411AC2" w:rsidRPr="00411AC2" w:rsidRDefault="00411AC2" w:rsidP="00411AC2">
            <w:pPr>
              <w:rPr>
                <w:rFonts w:ascii="Calibri" w:eastAsia="Times New Roman" w:hAnsi="Calibri" w:cs="Times New Roman"/>
                <w:color w:val="000000"/>
                <w:sz w:val="20"/>
                <w:szCs w:val="20"/>
              </w:rPr>
            </w:pPr>
          </w:p>
        </w:tc>
        <w:tc>
          <w:tcPr>
            <w:tcW w:w="1055" w:type="dxa"/>
            <w:noWrap/>
            <w:hideMark/>
          </w:tcPr>
          <w:p w:rsidR="00411AC2" w:rsidRPr="00411AC2" w:rsidRDefault="00411AC2" w:rsidP="00411AC2">
            <w:pPr>
              <w:rPr>
                <w:rFonts w:ascii="Calibri" w:eastAsia="Times New Roman" w:hAnsi="Calibri" w:cs="Times New Roman"/>
                <w:color w:val="000000"/>
                <w:sz w:val="20"/>
                <w:szCs w:val="20"/>
              </w:rPr>
            </w:pPr>
          </w:p>
        </w:tc>
        <w:tc>
          <w:tcPr>
            <w:tcW w:w="967" w:type="dxa"/>
            <w:noWrap/>
            <w:hideMark/>
          </w:tcPr>
          <w:p w:rsidR="00411AC2" w:rsidRPr="00411AC2" w:rsidRDefault="00411AC2" w:rsidP="00411AC2">
            <w:pPr>
              <w:rPr>
                <w:rFonts w:ascii="Calibri" w:eastAsia="Times New Roman" w:hAnsi="Calibri" w:cs="Times New Roman"/>
                <w:color w:val="000000"/>
                <w:sz w:val="20"/>
                <w:szCs w:val="20"/>
              </w:rPr>
            </w:pPr>
          </w:p>
        </w:tc>
        <w:tc>
          <w:tcPr>
            <w:tcW w:w="1527" w:type="dxa"/>
            <w:noWrap/>
            <w:hideMark/>
          </w:tcPr>
          <w:p w:rsidR="00411AC2" w:rsidRPr="00411AC2" w:rsidRDefault="00411AC2" w:rsidP="00411AC2">
            <w:pPr>
              <w:rPr>
                <w:rFonts w:ascii="Calibri" w:eastAsia="Times New Roman" w:hAnsi="Calibri" w:cs="Times New Roman"/>
                <w:color w:val="000000"/>
                <w:sz w:val="20"/>
                <w:szCs w:val="20"/>
              </w:rPr>
            </w:pPr>
          </w:p>
        </w:tc>
      </w:tr>
      <w:tr w:rsidR="00411AC2" w:rsidRPr="00411AC2" w:rsidTr="00411AC2">
        <w:trPr>
          <w:trHeight w:val="694"/>
          <w:jc w:val="center"/>
        </w:trPr>
        <w:tc>
          <w:tcPr>
            <w:tcW w:w="1336" w:type="dxa"/>
            <w:noWrap/>
            <w:hideMark/>
          </w:tcPr>
          <w:p w:rsidR="00411AC2" w:rsidRPr="00411AC2" w:rsidRDefault="00411AC2" w:rsidP="00411AC2">
            <w:pPr>
              <w:rPr>
                <w:rFonts w:ascii="Calibri" w:eastAsia="Times New Roman" w:hAnsi="Calibri" w:cs="Times New Roman"/>
                <w:b/>
                <w:bCs/>
                <w:color w:val="000000"/>
                <w:sz w:val="20"/>
                <w:szCs w:val="20"/>
              </w:rPr>
            </w:pPr>
            <w:r w:rsidRPr="00411AC2">
              <w:rPr>
                <w:rFonts w:ascii="Calibri" w:eastAsia="Times New Roman" w:hAnsi="Calibri" w:cs="Times New Roman"/>
                <w:b/>
                <w:bCs/>
                <w:color w:val="000000"/>
                <w:sz w:val="20"/>
                <w:szCs w:val="20"/>
              </w:rPr>
              <w:t xml:space="preserve"> </w:t>
            </w:r>
          </w:p>
        </w:tc>
        <w:tc>
          <w:tcPr>
            <w:tcW w:w="1165" w:type="dxa"/>
            <w:hideMark/>
          </w:tcPr>
          <w:p w:rsidR="00411AC2" w:rsidRPr="00411AC2" w:rsidRDefault="00411AC2" w:rsidP="00411AC2">
            <w:pPr>
              <w:jc w:val="center"/>
              <w:rPr>
                <w:rFonts w:ascii="Calibri" w:eastAsia="Times New Roman" w:hAnsi="Calibri" w:cs="Times New Roman"/>
                <w:b/>
                <w:bCs/>
                <w:color w:val="000000"/>
                <w:sz w:val="20"/>
                <w:szCs w:val="20"/>
              </w:rPr>
            </w:pPr>
            <w:r w:rsidRPr="00411AC2">
              <w:rPr>
                <w:rFonts w:ascii="Calibri" w:eastAsia="Times New Roman" w:hAnsi="Calibri" w:cs="Times New Roman"/>
                <w:b/>
                <w:bCs/>
                <w:color w:val="000000"/>
                <w:sz w:val="20"/>
                <w:szCs w:val="20"/>
              </w:rPr>
              <w:t>Hours Purchased</w:t>
            </w:r>
          </w:p>
        </w:tc>
        <w:tc>
          <w:tcPr>
            <w:tcW w:w="830" w:type="dxa"/>
            <w:hideMark/>
          </w:tcPr>
          <w:p w:rsidR="00411AC2" w:rsidRPr="00411AC2" w:rsidRDefault="00411AC2" w:rsidP="00411AC2">
            <w:pPr>
              <w:jc w:val="center"/>
              <w:rPr>
                <w:rFonts w:ascii="Calibri" w:eastAsia="Times New Roman" w:hAnsi="Calibri" w:cs="Times New Roman"/>
                <w:b/>
                <w:bCs/>
                <w:color w:val="000000"/>
                <w:sz w:val="20"/>
                <w:szCs w:val="20"/>
              </w:rPr>
            </w:pPr>
            <w:r w:rsidRPr="00411AC2">
              <w:rPr>
                <w:rFonts w:ascii="Calibri" w:eastAsia="Times New Roman" w:hAnsi="Calibri" w:cs="Times New Roman"/>
                <w:b/>
                <w:bCs/>
                <w:color w:val="000000"/>
                <w:sz w:val="20"/>
                <w:szCs w:val="20"/>
              </w:rPr>
              <w:t>Hours Used</w:t>
            </w:r>
          </w:p>
        </w:tc>
        <w:tc>
          <w:tcPr>
            <w:tcW w:w="1039" w:type="dxa"/>
            <w:hideMark/>
          </w:tcPr>
          <w:p w:rsidR="00411AC2" w:rsidRPr="00411AC2" w:rsidRDefault="00411AC2" w:rsidP="00411AC2">
            <w:pPr>
              <w:jc w:val="center"/>
              <w:rPr>
                <w:rFonts w:ascii="Calibri" w:eastAsia="Times New Roman" w:hAnsi="Calibri" w:cs="Times New Roman"/>
                <w:b/>
                <w:bCs/>
                <w:color w:val="000000"/>
                <w:sz w:val="20"/>
                <w:szCs w:val="20"/>
              </w:rPr>
            </w:pPr>
            <w:r w:rsidRPr="00411AC2">
              <w:rPr>
                <w:rFonts w:ascii="Calibri" w:eastAsia="Times New Roman" w:hAnsi="Calibri" w:cs="Times New Roman"/>
                <w:b/>
                <w:bCs/>
                <w:color w:val="000000"/>
                <w:sz w:val="20"/>
                <w:szCs w:val="20"/>
              </w:rPr>
              <w:t>Number of Sessions</w:t>
            </w:r>
          </w:p>
        </w:tc>
        <w:tc>
          <w:tcPr>
            <w:tcW w:w="1055" w:type="dxa"/>
            <w:hideMark/>
          </w:tcPr>
          <w:p w:rsidR="00411AC2" w:rsidRPr="00411AC2" w:rsidRDefault="00411AC2" w:rsidP="00411AC2">
            <w:pPr>
              <w:jc w:val="center"/>
              <w:rPr>
                <w:rFonts w:ascii="Calibri" w:eastAsia="Times New Roman" w:hAnsi="Calibri" w:cs="Times New Roman"/>
                <w:b/>
                <w:bCs/>
                <w:color w:val="000000"/>
                <w:sz w:val="20"/>
                <w:szCs w:val="20"/>
                <w:highlight w:val="yellow"/>
              </w:rPr>
            </w:pPr>
            <w:r w:rsidRPr="00411AC2">
              <w:rPr>
                <w:rFonts w:ascii="Calibri" w:eastAsia="Times New Roman" w:hAnsi="Calibri" w:cs="Times New Roman"/>
                <w:b/>
                <w:bCs/>
                <w:color w:val="000000"/>
                <w:sz w:val="20"/>
                <w:szCs w:val="20"/>
                <w:highlight w:val="yellow"/>
              </w:rPr>
              <w:t>Number of Distinct Users</w:t>
            </w:r>
          </w:p>
        </w:tc>
        <w:tc>
          <w:tcPr>
            <w:tcW w:w="967" w:type="dxa"/>
            <w:hideMark/>
          </w:tcPr>
          <w:p w:rsidR="00411AC2" w:rsidRPr="00411AC2" w:rsidRDefault="00411AC2" w:rsidP="00411AC2">
            <w:pPr>
              <w:jc w:val="center"/>
              <w:rPr>
                <w:rFonts w:ascii="Calibri" w:eastAsia="Times New Roman" w:hAnsi="Calibri" w:cs="Times New Roman"/>
                <w:b/>
                <w:bCs/>
                <w:color w:val="000000"/>
                <w:sz w:val="20"/>
                <w:szCs w:val="20"/>
              </w:rPr>
            </w:pPr>
            <w:r w:rsidRPr="00411AC2">
              <w:rPr>
                <w:rFonts w:ascii="Calibri" w:eastAsia="Times New Roman" w:hAnsi="Calibri" w:cs="Times New Roman"/>
                <w:b/>
                <w:bCs/>
                <w:color w:val="000000"/>
                <w:sz w:val="20"/>
                <w:szCs w:val="20"/>
              </w:rPr>
              <w:t>Average Hours Per Student</w:t>
            </w:r>
          </w:p>
        </w:tc>
        <w:tc>
          <w:tcPr>
            <w:tcW w:w="1527" w:type="dxa"/>
            <w:hideMark/>
          </w:tcPr>
          <w:p w:rsidR="00411AC2" w:rsidRPr="00411AC2" w:rsidRDefault="00411AC2" w:rsidP="00411AC2">
            <w:pPr>
              <w:jc w:val="center"/>
              <w:rPr>
                <w:rFonts w:ascii="Calibri" w:eastAsia="Times New Roman" w:hAnsi="Calibri" w:cs="Times New Roman"/>
                <w:b/>
                <w:bCs/>
                <w:color w:val="000000"/>
                <w:sz w:val="20"/>
                <w:szCs w:val="20"/>
              </w:rPr>
            </w:pPr>
            <w:r w:rsidRPr="00411AC2">
              <w:rPr>
                <w:rFonts w:ascii="Calibri" w:eastAsia="Times New Roman" w:hAnsi="Calibri" w:cs="Times New Roman"/>
                <w:b/>
                <w:bCs/>
                <w:color w:val="000000"/>
                <w:sz w:val="20"/>
                <w:szCs w:val="20"/>
              </w:rPr>
              <w:t>Average Sessions Per Student</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January</w:t>
            </w:r>
          </w:p>
        </w:tc>
        <w:tc>
          <w:tcPr>
            <w:tcW w:w="1165" w:type="dxa"/>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1,000 </w:t>
            </w:r>
          </w:p>
        </w:tc>
        <w:tc>
          <w:tcPr>
            <w:tcW w:w="830"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0.15</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1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1</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0.15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1.00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February</w:t>
            </w:r>
          </w:p>
        </w:tc>
        <w:tc>
          <w:tcPr>
            <w:tcW w:w="1165" w:type="dxa"/>
            <w:hideMark/>
          </w:tcPr>
          <w:p w:rsidR="00411AC2" w:rsidRPr="00411AC2" w:rsidRDefault="00411AC2" w:rsidP="00411AC2">
            <w:pPr>
              <w:rPr>
                <w:rFonts w:ascii="Calibri" w:eastAsia="Times New Roman" w:hAnsi="Calibri" w:cs="Times New Roman"/>
                <w:color w:val="000000"/>
                <w:sz w:val="18"/>
                <w:szCs w:val="18"/>
              </w:rPr>
            </w:pPr>
          </w:p>
        </w:tc>
        <w:tc>
          <w:tcPr>
            <w:tcW w:w="830"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14.72</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26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5</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2.94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5.20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2014 March </w:t>
            </w:r>
          </w:p>
        </w:tc>
        <w:tc>
          <w:tcPr>
            <w:tcW w:w="1165" w:type="dxa"/>
            <w:hideMark/>
          </w:tcPr>
          <w:p w:rsidR="00411AC2" w:rsidRPr="00411AC2" w:rsidRDefault="00411AC2" w:rsidP="00411AC2">
            <w:pPr>
              <w:rPr>
                <w:rFonts w:ascii="Calibri" w:eastAsia="Times New Roman" w:hAnsi="Calibri" w:cs="Times New Roman"/>
                <w:color w:val="000000"/>
                <w:sz w:val="18"/>
                <w:szCs w:val="18"/>
              </w:rPr>
            </w:pPr>
          </w:p>
        </w:tc>
        <w:tc>
          <w:tcPr>
            <w:tcW w:w="830"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43.42</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65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50</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0.87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1.30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April</w:t>
            </w:r>
          </w:p>
        </w:tc>
        <w:tc>
          <w:tcPr>
            <w:tcW w:w="1165" w:type="dxa"/>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33.12</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55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28</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1.18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1.96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May</w:t>
            </w:r>
          </w:p>
        </w:tc>
        <w:tc>
          <w:tcPr>
            <w:tcW w:w="1165" w:type="dxa"/>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29.35</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48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36</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0.82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1.33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June</w:t>
            </w:r>
          </w:p>
        </w:tc>
        <w:tc>
          <w:tcPr>
            <w:tcW w:w="1165" w:type="dxa"/>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15.50</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23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15</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1.03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1.53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July</w:t>
            </w:r>
          </w:p>
        </w:tc>
        <w:tc>
          <w:tcPr>
            <w:tcW w:w="1165" w:type="dxa"/>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9.68</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18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9</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1.08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2.00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August</w:t>
            </w:r>
          </w:p>
        </w:tc>
        <w:tc>
          <w:tcPr>
            <w:tcW w:w="1165" w:type="dxa"/>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6.82</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15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13</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0.52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1.15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September</w:t>
            </w:r>
          </w:p>
        </w:tc>
        <w:tc>
          <w:tcPr>
            <w:tcW w:w="1165" w:type="dxa"/>
            <w:noWrap/>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174.67</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284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192</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0.91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1.48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October</w:t>
            </w:r>
          </w:p>
        </w:tc>
        <w:tc>
          <w:tcPr>
            <w:tcW w:w="1165" w:type="dxa"/>
            <w:noWrap/>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118.58</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188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148</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0.80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1.27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November</w:t>
            </w:r>
          </w:p>
        </w:tc>
        <w:tc>
          <w:tcPr>
            <w:tcW w:w="1165" w:type="dxa"/>
            <w:noWrap/>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92.80</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142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98</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0.95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1.45 </w:t>
            </w:r>
          </w:p>
        </w:tc>
      </w:tr>
      <w:tr w:rsidR="00411AC2" w:rsidRPr="00411AC2" w:rsidTr="00411AC2">
        <w:trPr>
          <w:trHeight w:val="174"/>
          <w:jc w:val="center"/>
        </w:trPr>
        <w:tc>
          <w:tcPr>
            <w:tcW w:w="1336"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2014 December</w:t>
            </w:r>
          </w:p>
        </w:tc>
        <w:tc>
          <w:tcPr>
            <w:tcW w:w="1165" w:type="dxa"/>
            <w:noWrap/>
            <w:hideMark/>
          </w:tcPr>
          <w:p w:rsidR="00411AC2" w:rsidRPr="00411AC2" w:rsidRDefault="00411AC2" w:rsidP="00411AC2">
            <w:pPr>
              <w:rPr>
                <w:rFonts w:ascii="Calibri" w:eastAsia="Times New Roman" w:hAnsi="Calibri" w:cs="Times New Roman"/>
                <w:color w:val="000000"/>
                <w:sz w:val="18"/>
                <w:szCs w:val="18"/>
              </w:rPr>
            </w:pPr>
          </w:p>
        </w:tc>
        <w:tc>
          <w:tcPr>
            <w:tcW w:w="830" w:type="dxa"/>
            <w:noWrap/>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100.90</w:t>
            </w:r>
          </w:p>
        </w:tc>
        <w:tc>
          <w:tcPr>
            <w:tcW w:w="1039" w:type="dxa"/>
            <w:hideMark/>
          </w:tcPr>
          <w:p w:rsidR="00411AC2" w:rsidRPr="00411AC2" w:rsidRDefault="00411AC2" w:rsidP="00411AC2">
            <w:pPr>
              <w:jc w:val="right"/>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152 </w:t>
            </w:r>
          </w:p>
        </w:tc>
        <w:tc>
          <w:tcPr>
            <w:tcW w:w="1055" w:type="dxa"/>
            <w:noWrap/>
            <w:hideMark/>
          </w:tcPr>
          <w:p w:rsidR="00411AC2" w:rsidRPr="00411AC2" w:rsidRDefault="00411AC2" w:rsidP="00411AC2">
            <w:pPr>
              <w:jc w:val="right"/>
              <w:rPr>
                <w:rFonts w:ascii="Calibri" w:eastAsia="Times New Roman" w:hAnsi="Calibri" w:cs="Times New Roman"/>
                <w:color w:val="000000"/>
                <w:sz w:val="18"/>
                <w:szCs w:val="18"/>
                <w:highlight w:val="yellow"/>
              </w:rPr>
            </w:pPr>
            <w:r w:rsidRPr="00411AC2">
              <w:rPr>
                <w:rFonts w:ascii="Calibri" w:eastAsia="Times New Roman" w:hAnsi="Calibri" w:cs="Times New Roman"/>
                <w:color w:val="000000"/>
                <w:sz w:val="18"/>
                <w:szCs w:val="18"/>
                <w:highlight w:val="yellow"/>
              </w:rPr>
              <w:t>124</w:t>
            </w:r>
          </w:p>
        </w:tc>
        <w:tc>
          <w:tcPr>
            <w:tcW w:w="96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0.81 </w:t>
            </w:r>
          </w:p>
        </w:tc>
        <w:tc>
          <w:tcPr>
            <w:tcW w:w="1527" w:type="dxa"/>
            <w:noWrap/>
            <w:hideMark/>
          </w:tcPr>
          <w:p w:rsidR="00411AC2" w:rsidRPr="00411AC2" w:rsidRDefault="00411AC2" w:rsidP="00411AC2">
            <w:pPr>
              <w:rPr>
                <w:rFonts w:ascii="Calibri" w:eastAsia="Times New Roman" w:hAnsi="Calibri" w:cs="Times New Roman"/>
                <w:color w:val="000000"/>
                <w:sz w:val="18"/>
                <w:szCs w:val="18"/>
              </w:rPr>
            </w:pPr>
            <w:r w:rsidRPr="00411AC2">
              <w:rPr>
                <w:rFonts w:ascii="Calibri" w:eastAsia="Times New Roman" w:hAnsi="Calibri" w:cs="Times New Roman"/>
                <w:color w:val="000000"/>
                <w:sz w:val="18"/>
                <w:szCs w:val="18"/>
              </w:rPr>
              <w:t xml:space="preserve">          1.23 </w:t>
            </w:r>
          </w:p>
        </w:tc>
      </w:tr>
    </w:tbl>
    <w:p w:rsidR="00411AC2" w:rsidRDefault="00411AC2" w:rsidP="00411AC2">
      <w:pPr>
        <w:pStyle w:val="ListParagraph"/>
      </w:pPr>
    </w:p>
    <w:p w:rsidR="00411AC2" w:rsidRDefault="00411AC2" w:rsidP="00411AC2">
      <w:pPr>
        <w:pStyle w:val="ListParagraph"/>
      </w:pPr>
    </w:p>
    <w:tbl>
      <w:tblPr>
        <w:tblW w:w="7580" w:type="dxa"/>
        <w:tblInd w:w="93" w:type="dxa"/>
        <w:tblLook w:val="04A0" w:firstRow="1" w:lastRow="0" w:firstColumn="1" w:lastColumn="0" w:noHBand="0" w:noVBand="1"/>
      </w:tblPr>
      <w:tblGrid>
        <w:gridCol w:w="1680"/>
        <w:gridCol w:w="1080"/>
        <w:gridCol w:w="1160"/>
        <w:gridCol w:w="1340"/>
        <w:gridCol w:w="1360"/>
        <w:gridCol w:w="960"/>
      </w:tblGrid>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r w:rsidR="00411AC2" w:rsidRPr="00411AC2" w:rsidTr="00411AC2">
        <w:trPr>
          <w:trHeight w:val="300"/>
        </w:trPr>
        <w:tc>
          <w:tcPr>
            <w:tcW w:w="16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tcPr>
          <w:p w:rsidR="00411AC2" w:rsidRPr="00411AC2" w:rsidRDefault="00411AC2" w:rsidP="00411AC2">
            <w:pPr>
              <w:spacing w:after="0" w:line="240" w:lineRule="auto"/>
              <w:jc w:val="right"/>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tcPr>
          <w:p w:rsidR="00411AC2" w:rsidRPr="00411AC2" w:rsidRDefault="00411AC2" w:rsidP="00411AC2">
            <w:pPr>
              <w:spacing w:after="0" w:line="240" w:lineRule="auto"/>
              <w:rPr>
                <w:rFonts w:ascii="Calibri" w:eastAsia="Times New Roman" w:hAnsi="Calibri" w:cs="Times New Roman"/>
                <w:color w:val="000000"/>
              </w:rPr>
            </w:pPr>
          </w:p>
        </w:tc>
      </w:tr>
    </w:tbl>
    <w:p w:rsidR="0088597D" w:rsidRDefault="003030EB" w:rsidP="004804B3">
      <w:pPr>
        <w:pStyle w:val="ListParagraph"/>
        <w:numPr>
          <w:ilvl w:val="0"/>
          <w:numId w:val="1"/>
        </w:numPr>
      </w:pPr>
      <w:r>
        <w:t xml:space="preserve">Initiative: Instructional Technologist Initiative ID: 1201 Link to Data: List of online class and web enhancement numbers. Students served, and student success numbers. Demonstrate the need for proactive student support and increased faculty support. Expected Benefits: Achievement of accreditation expectations for student services online to support distance education students and faculty. Achievement of district goal to offer competitive and quality distance education. Goal: To achieve the benefits addressed. Performance Indicator: Improved student success and retention. Timeline: 2014-2015 </w:t>
      </w:r>
    </w:p>
    <w:p w:rsidR="0025300D" w:rsidRDefault="0025300D" w:rsidP="0025300D">
      <w:pPr>
        <w:pStyle w:val="ListParagraph"/>
      </w:pPr>
    </w:p>
    <w:p w:rsidR="0025300D" w:rsidRDefault="0025300D" w:rsidP="0025300D">
      <w:pPr>
        <w:pStyle w:val="ListParagraph"/>
      </w:pPr>
      <w:r>
        <w:t xml:space="preserve">Goal: </w:t>
      </w:r>
      <w:r w:rsidRPr="0025300D">
        <w:rPr>
          <w:b/>
        </w:rPr>
        <w:t>Met</w:t>
      </w:r>
      <w:r>
        <w:t>. Instructional Technologist was hired in August 2014.</w:t>
      </w:r>
    </w:p>
    <w:p w:rsidR="003030EB" w:rsidRDefault="003030EB" w:rsidP="003030EB">
      <w:pPr>
        <w:pStyle w:val="ListParagraph"/>
      </w:pPr>
    </w:p>
    <w:p w:rsidR="003030EB" w:rsidRDefault="003030EB" w:rsidP="003030EB">
      <w:pPr>
        <w:pStyle w:val="ListParagraph"/>
        <w:numPr>
          <w:ilvl w:val="0"/>
          <w:numId w:val="1"/>
        </w:numPr>
      </w:pPr>
      <w:r>
        <w:t xml:space="preserve">Initiative: Develop clarity, definition, and practices in online classes for regular and effective contact, and instructor availability Initiative ID: 1302 Link to Data: Research of accreditation preparedness requires clarity of definitions and practices with evidence in the classroom, of regular and effective contact and clarity of instructor availability for contact Expected Benefits: Achieve accreditation requirements and improve student faculty communication. Goal: Achieve expected benefits. Performance Indicator: Language to support this initiative will be adopted for Distance Education Handbook and trainings. As well it will be implemented in 100% of online classes. Timeline: 2014-2015 Funding Resource </w:t>
      </w:r>
      <w:proofErr w:type="gramStart"/>
      <w:r>
        <w:t>Category</w:t>
      </w:r>
      <w:proofErr w:type="gramEnd"/>
      <w:r>
        <w:t xml:space="preserve">: No new resources needed Ranking: Choose an item. Initiative: Consider funding the support of 3 faculty release times to mentor and peer review the development, implementation and review of new distance education courses. </w:t>
      </w:r>
    </w:p>
    <w:p w:rsidR="00197DF7" w:rsidRDefault="00197DF7" w:rsidP="00197DF7">
      <w:pPr>
        <w:pStyle w:val="ListParagraph"/>
      </w:pPr>
    </w:p>
    <w:p w:rsidR="003030EB" w:rsidRDefault="003030EB" w:rsidP="003030EB">
      <w:pPr>
        <w:pStyle w:val="ListParagraph"/>
      </w:pPr>
      <w:r>
        <w:t xml:space="preserve">Goal: </w:t>
      </w:r>
      <w:r w:rsidRPr="003030EB">
        <w:rPr>
          <w:b/>
        </w:rPr>
        <w:t>Met</w:t>
      </w:r>
      <w:r>
        <w:t xml:space="preserve">. Beginning </w:t>
      </w:r>
      <w:proofErr w:type="gramStart"/>
      <w:r>
        <w:t>Fall</w:t>
      </w:r>
      <w:proofErr w:type="gramEnd"/>
      <w:r>
        <w:t xml:space="preserve"> 2015 3 faculty will be given release time to mentor faculty teaching online. Each of the mentors participated in two 4 week training courses from Quality Matters. The intent of the ‘mentor program’ is to provide peer review of online courses.</w:t>
      </w:r>
      <w:r w:rsidR="00197DF7">
        <w:t xml:space="preserve"> In addition, the Distant Education Handbook with language defining </w:t>
      </w:r>
      <w:r w:rsidR="00197DF7" w:rsidRPr="00197DF7">
        <w:rPr>
          <w:i/>
        </w:rPr>
        <w:t>regular and effective contact</w:t>
      </w:r>
      <w:r w:rsidR="00197DF7">
        <w:t xml:space="preserve"> was adopted by the Academic Senate in November of 2014, and will include the recently approved </w:t>
      </w:r>
      <w:r w:rsidR="00197DF7" w:rsidRPr="00197DF7">
        <w:rPr>
          <w:rFonts w:eastAsia="Times New Roman" w:cs="Arial"/>
        </w:rPr>
        <w:t>AP</w:t>
      </w:r>
      <w:r w:rsidR="00197DF7">
        <w:rPr>
          <w:rFonts w:eastAsia="Times New Roman" w:cs="Arial"/>
        </w:rPr>
        <w:t>/BP</w:t>
      </w:r>
      <w:r w:rsidR="00197DF7" w:rsidRPr="00197DF7">
        <w:rPr>
          <w:rFonts w:eastAsia="Times New Roman" w:cs="Arial"/>
        </w:rPr>
        <w:t xml:space="preserve"> 4105 Distance Education</w:t>
      </w:r>
      <w:r w:rsidR="00197DF7">
        <w:rPr>
          <w:rFonts w:eastAsia="Times New Roman" w:cs="Arial"/>
        </w:rPr>
        <w:t>.</w:t>
      </w:r>
    </w:p>
    <w:p w:rsidR="003030EB" w:rsidRDefault="003030EB" w:rsidP="003030EB">
      <w:pPr>
        <w:pStyle w:val="ListParagraph"/>
      </w:pPr>
    </w:p>
    <w:p w:rsidR="003030EB" w:rsidRDefault="003030EB" w:rsidP="003030EB">
      <w:pPr>
        <w:pStyle w:val="ListParagraph"/>
        <w:numPr>
          <w:ilvl w:val="0"/>
          <w:numId w:val="1"/>
        </w:numPr>
      </w:pPr>
      <w:r>
        <w:t xml:space="preserve">Initiative ID: 1303 Link to Data: Faculty peer mentoring programs such as Quality Matters has been identified as a high impact practice for improving the quality and success of online courses and programs. Expected Benefits: Improved student satisfaction in online courses as noted in student evaluations. Goal: Achieve expected benefits. Performance Indicator: First success indicators will be to select the faculty to found, develop, and lead the peer mentoring program. Followed by a 10% improvement in student evaluation/survey regarding online education. Timeline: 2014-2015 Funding Resource </w:t>
      </w:r>
      <w:proofErr w:type="gramStart"/>
      <w:r>
        <w:t>Category</w:t>
      </w:r>
      <w:proofErr w:type="gramEnd"/>
      <w:r>
        <w:t>: Hourly Instruction Funds Ranking: Choose an item.</w:t>
      </w:r>
    </w:p>
    <w:p w:rsidR="003030EB" w:rsidRDefault="003030EB" w:rsidP="003030EB">
      <w:pPr>
        <w:pStyle w:val="ListParagraph"/>
      </w:pPr>
      <w:r>
        <w:lastRenderedPageBreak/>
        <w:t>Goal:</w:t>
      </w:r>
      <w:r w:rsidRPr="00197DF7">
        <w:rPr>
          <w:b/>
        </w:rPr>
        <w:t xml:space="preserve"> Inconclusive</w:t>
      </w:r>
      <w:r>
        <w:t xml:space="preserve">. Faculty participating in the QM training will not have course success &amp; retention results until the end of </w:t>
      </w:r>
      <w:proofErr w:type="gramStart"/>
      <w:r>
        <w:t>Spring</w:t>
      </w:r>
      <w:proofErr w:type="gramEnd"/>
      <w:r>
        <w:t xml:space="preserve"> 2015.</w:t>
      </w:r>
    </w:p>
    <w:p w:rsidR="004303C2" w:rsidRDefault="004303C2" w:rsidP="003030EB">
      <w:pPr>
        <w:pStyle w:val="ListParagraph"/>
      </w:pPr>
    </w:p>
    <w:p w:rsidR="004303C2" w:rsidRDefault="004303C2" w:rsidP="003030EB">
      <w:pPr>
        <w:pStyle w:val="ListParagraph"/>
      </w:pPr>
      <w:r>
        <w:t>Initiatives for full Program review – (should be able to link them to findings when we get data)</w:t>
      </w:r>
    </w:p>
    <w:p w:rsidR="004303C2" w:rsidRDefault="004303C2" w:rsidP="003030EB">
      <w:pPr>
        <w:pStyle w:val="ListParagraph"/>
      </w:pPr>
    </w:p>
    <w:p w:rsidR="004303C2" w:rsidRDefault="004303C2" w:rsidP="003030EB">
      <w:pPr>
        <w:pStyle w:val="ListParagraph"/>
      </w:pPr>
      <w:r>
        <w:t>DE1501</w:t>
      </w:r>
    </w:p>
    <w:p w:rsidR="004303C2" w:rsidRDefault="004303C2" w:rsidP="003030EB">
      <w:pPr>
        <w:pStyle w:val="ListParagraph"/>
      </w:pPr>
      <w:r>
        <w:t>Laptop lending to students</w:t>
      </w:r>
    </w:p>
    <w:p w:rsidR="004303C2" w:rsidRDefault="004303C2" w:rsidP="003030EB">
      <w:pPr>
        <w:pStyle w:val="ListParagraph"/>
      </w:pPr>
    </w:p>
    <w:p w:rsidR="004303C2" w:rsidRPr="004303C2" w:rsidRDefault="004303C2" w:rsidP="004303C2">
      <w:pPr>
        <w:spacing w:after="0" w:line="240" w:lineRule="auto"/>
        <w:ind w:left="720"/>
      </w:pPr>
      <w:r w:rsidRPr="004303C2">
        <w:rPr>
          <w:b/>
        </w:rPr>
        <w:t xml:space="preserve">Initiative Title:  </w:t>
      </w:r>
    </w:p>
    <w:p w:rsidR="004303C2" w:rsidRDefault="004303C2" w:rsidP="004303C2">
      <w:pPr>
        <w:pStyle w:val="ListParagraph"/>
      </w:pPr>
      <w:r w:rsidRPr="004303C2">
        <w:rPr>
          <w:b/>
        </w:rPr>
        <w:t>Initiative ID:</w:t>
      </w:r>
      <w:r w:rsidRPr="004303C2">
        <w:t xml:space="preserve"> </w:t>
      </w:r>
      <w:r>
        <w:t>Student Laptop lending pilot program</w:t>
      </w:r>
    </w:p>
    <w:p w:rsidR="004303C2" w:rsidRDefault="004303C2" w:rsidP="004303C2">
      <w:pPr>
        <w:pStyle w:val="ListParagraph"/>
        <w:rPr>
          <w:b/>
        </w:rPr>
      </w:pPr>
      <w:r w:rsidRPr="004303C2">
        <w:rPr>
          <w:b/>
        </w:rPr>
        <w:t xml:space="preserve">Links to Finding: </w:t>
      </w:r>
    </w:p>
    <w:p w:rsidR="004303C2" w:rsidRPr="004303C2" w:rsidRDefault="004303C2" w:rsidP="004303C2">
      <w:pPr>
        <w:pStyle w:val="ListParagraph"/>
      </w:pPr>
      <w:r w:rsidRPr="004303C2">
        <w:rPr>
          <w:b/>
        </w:rPr>
        <w:t>Initiative Finding Link</w:t>
      </w:r>
      <w:r w:rsidRPr="004303C2">
        <w:t xml:space="preserve">: </w:t>
      </w:r>
      <w:r w:rsidRPr="004303C2">
        <w:rPr>
          <w:rFonts w:cstheme="minorHAnsi"/>
        </w:rPr>
        <w:t xml:space="preserve">Educational Master Plan Goal #1 - Continuously </w:t>
      </w:r>
      <w:proofErr w:type="gramStart"/>
      <w:r w:rsidRPr="004303C2">
        <w:rPr>
          <w:rFonts w:cstheme="minorHAnsi"/>
        </w:rPr>
        <w:t>improve</w:t>
      </w:r>
      <w:proofErr w:type="gramEnd"/>
      <w:r w:rsidRPr="004303C2">
        <w:rPr>
          <w:rFonts w:cstheme="minorHAnsi"/>
        </w:rPr>
        <w:t xml:space="preserve"> educational programs and services to meet student, community, and workforce development needs.  </w:t>
      </w:r>
      <w:proofErr w:type="gramStart"/>
      <w:r w:rsidRPr="004303C2">
        <w:rPr>
          <w:rFonts w:cstheme="minorHAnsi"/>
        </w:rPr>
        <w:t>Aligns with District Strategic Goal 1 (increase access and student success).</w:t>
      </w:r>
      <w:proofErr w:type="gramEnd"/>
    </w:p>
    <w:p w:rsidR="004303C2" w:rsidRPr="004303C2" w:rsidRDefault="004303C2" w:rsidP="004303C2">
      <w:pPr>
        <w:spacing w:after="0" w:line="240" w:lineRule="auto"/>
        <w:ind w:left="720"/>
      </w:pPr>
      <w:r w:rsidRPr="004303C2">
        <w:rPr>
          <w:b/>
        </w:rPr>
        <w:t>Initiative Action:</w:t>
      </w:r>
      <w:r w:rsidRPr="004303C2">
        <w:t xml:space="preserve">  </w:t>
      </w:r>
      <w:r>
        <w:t>Purchase 15 student lap tops to loan to students taking 2 or more DE courses.</w:t>
      </w:r>
    </w:p>
    <w:p w:rsidR="004303C2" w:rsidRPr="004303C2" w:rsidRDefault="004303C2" w:rsidP="004303C2">
      <w:pPr>
        <w:spacing w:after="0" w:line="240" w:lineRule="auto"/>
        <w:ind w:left="720"/>
        <w:rPr>
          <w:rFonts w:eastAsia="Times New Roman" w:cs="Times New Roman"/>
          <w:b/>
          <w:bCs/>
        </w:rPr>
      </w:pPr>
      <w:r w:rsidRPr="004303C2">
        <w:rPr>
          <w:rFonts w:eastAsia="Times New Roman" w:cs="Times New Roman"/>
          <w:b/>
          <w:bCs/>
        </w:rPr>
        <w:t>Timeline:</w:t>
      </w:r>
      <w:r w:rsidRPr="004303C2">
        <w:rPr>
          <w:rFonts w:ascii="Tahoma" w:eastAsia="Times New Roman" w:hAnsi="Tahoma" w:cs="Times New Roman"/>
          <w:b/>
          <w:bCs/>
        </w:rPr>
        <w:t xml:space="preserve"> </w:t>
      </w:r>
      <w:r>
        <w:rPr>
          <w:rFonts w:eastAsia="Times New Roman" w:cs="Times New Roman"/>
          <w:b/>
          <w:bCs/>
        </w:rPr>
        <w:t>2015-2016</w:t>
      </w:r>
    </w:p>
    <w:p w:rsidR="004303C2" w:rsidRPr="004303C2" w:rsidRDefault="004303C2" w:rsidP="004303C2">
      <w:pPr>
        <w:spacing w:after="0" w:line="240" w:lineRule="auto"/>
        <w:ind w:left="720"/>
      </w:pPr>
      <w:proofErr w:type="gramStart"/>
      <w:r w:rsidRPr="004303C2">
        <w:rPr>
          <w:b/>
        </w:rPr>
        <w:t>Expected Benefits</w:t>
      </w:r>
      <w:r w:rsidRPr="004303C2">
        <w:t xml:space="preserve">:  </w:t>
      </w:r>
      <w:r>
        <w:t>Provide greater accessibility to students needing courses to complete their AA-T.</w:t>
      </w:r>
      <w:proofErr w:type="gramEnd"/>
      <w:r>
        <w:t xml:space="preserve"> </w:t>
      </w:r>
    </w:p>
    <w:p w:rsidR="004303C2" w:rsidRPr="004303C2" w:rsidRDefault="004303C2" w:rsidP="004303C2">
      <w:pPr>
        <w:spacing w:after="0" w:line="240" w:lineRule="auto"/>
        <w:ind w:left="720"/>
        <w:rPr>
          <w:rFonts w:eastAsia="Times New Roman" w:cstheme="minorHAnsi"/>
          <w:bCs/>
          <w:color w:val="000000" w:themeColor="text1"/>
        </w:rPr>
      </w:pPr>
      <w:r w:rsidRPr="004303C2">
        <w:rPr>
          <w:rFonts w:eastAsia="Times New Roman" w:cs="Times New Roman"/>
          <w:b/>
          <w:bCs/>
        </w:rPr>
        <w:t>Funding Resource Category</w:t>
      </w:r>
      <w:r w:rsidRPr="004303C2">
        <w:rPr>
          <w:rFonts w:eastAsia="Times New Roman" w:cs="Times New Roman"/>
          <w:bCs/>
        </w:rPr>
        <w:t xml:space="preserve">:  </w:t>
      </w:r>
      <w:sdt>
        <w:sdtPr>
          <w:rPr>
            <w:rFonts w:eastAsia="Times New Roman" w:cs="Times New Roman"/>
            <w:bCs/>
          </w:rPr>
          <w:id w:val="-114064530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EndPr/>
        <w:sdtContent>
          <w:r>
            <w:rPr>
              <w:rFonts w:eastAsia="Times New Roman" w:cs="Times New Roman"/>
              <w:bCs/>
            </w:rPr>
            <w:t>Technology Funds</w:t>
          </w:r>
        </w:sdtContent>
      </w:sdt>
    </w:p>
    <w:p w:rsidR="004303C2" w:rsidRPr="004303C2" w:rsidRDefault="004303C2" w:rsidP="004303C2">
      <w:pPr>
        <w:spacing w:after="0" w:line="240" w:lineRule="auto"/>
        <w:ind w:left="720"/>
        <w:rPr>
          <w:rFonts w:eastAsia="Times New Roman" w:cs="Times New Roman"/>
          <w:color w:val="FF0000"/>
        </w:rPr>
      </w:pPr>
      <w:r w:rsidRPr="004303C2">
        <w:rPr>
          <w:rFonts w:eastAsia="Times New Roman" w:cs="Times New Roman"/>
          <w:b/>
          <w:bCs/>
        </w:rPr>
        <w:t xml:space="preserve">Estimated </w:t>
      </w:r>
      <w:r w:rsidRPr="004303C2">
        <w:rPr>
          <w:rFonts w:eastAsia="Times New Roman" w:cs="Times New Roman"/>
          <w:b/>
        </w:rPr>
        <w:t>Cost:</w:t>
      </w:r>
      <w:r>
        <w:rPr>
          <w:rFonts w:eastAsia="Times New Roman" w:cs="Times New Roman"/>
          <w:b/>
        </w:rPr>
        <w:t xml:space="preserve"> $8000.00</w:t>
      </w:r>
    </w:p>
    <w:p w:rsidR="004303C2" w:rsidRPr="004303C2" w:rsidRDefault="004303C2" w:rsidP="004303C2">
      <w:pPr>
        <w:spacing w:after="0" w:line="240" w:lineRule="auto"/>
        <w:ind w:left="720"/>
        <w:rPr>
          <w:rFonts w:eastAsia="Times New Roman" w:cstheme="minorHAnsi"/>
          <w:b/>
          <w:bCs/>
          <w:color w:val="000000" w:themeColor="text1"/>
        </w:rPr>
      </w:pPr>
      <w:r w:rsidRPr="004303C2">
        <w:rPr>
          <w:rFonts w:eastAsia="Times New Roman" w:cs="Times New Roman"/>
          <w:b/>
          <w:bCs/>
        </w:rPr>
        <w:t>Ranking:</w:t>
      </w:r>
      <w:r w:rsidRPr="004303C2">
        <w:rPr>
          <w:rFonts w:eastAsia="Times New Roman" w:cs="Times New Roman"/>
          <w:bCs/>
        </w:rPr>
        <w:t xml:space="preserve">  </w:t>
      </w:r>
      <w:sdt>
        <w:sdtPr>
          <w:rPr>
            <w:rFonts w:eastAsia="Times New Roman" w:cs="Times New Roman"/>
            <w:bCs/>
          </w:rPr>
          <w:id w:val="1712759222"/>
          <w:dropDownList>
            <w:listItem w:displayText="Click here for options" w:value="Click here for options"/>
            <w:listItem w:displayText="R" w:value="R"/>
            <w:listItem w:displayText="H" w:value="H"/>
            <w:listItem w:displayText="M" w:value="M"/>
            <w:listItem w:displayText="L" w:value="L"/>
          </w:dropDownList>
        </w:sdtPr>
        <w:sdtEndPr/>
        <w:sdtContent>
          <w:r>
            <w:rPr>
              <w:rFonts w:eastAsia="Times New Roman" w:cs="Times New Roman"/>
              <w:bCs/>
            </w:rPr>
            <w:t>H</w:t>
          </w:r>
        </w:sdtContent>
      </w:sdt>
    </w:p>
    <w:p w:rsidR="004303C2" w:rsidRDefault="004303C2" w:rsidP="003030EB">
      <w:pPr>
        <w:pStyle w:val="ListParagraph"/>
      </w:pPr>
    </w:p>
    <w:p w:rsidR="004303C2" w:rsidRDefault="004303C2" w:rsidP="003030EB">
      <w:pPr>
        <w:pStyle w:val="ListParagraph"/>
      </w:pPr>
    </w:p>
    <w:p w:rsidR="004303C2" w:rsidRDefault="004303C2" w:rsidP="003030EB">
      <w:pPr>
        <w:pStyle w:val="ListParagraph"/>
      </w:pPr>
    </w:p>
    <w:sectPr w:rsidR="00430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5490"/>
    <w:multiLevelType w:val="hybridMultilevel"/>
    <w:tmpl w:val="5A6AF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EB"/>
    <w:rsid w:val="00197DF7"/>
    <w:rsid w:val="0025300D"/>
    <w:rsid w:val="003030EB"/>
    <w:rsid w:val="00411AC2"/>
    <w:rsid w:val="004303C2"/>
    <w:rsid w:val="00430520"/>
    <w:rsid w:val="004804B3"/>
    <w:rsid w:val="00885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EB"/>
    <w:pPr>
      <w:ind w:left="720"/>
      <w:contextualSpacing/>
    </w:pPr>
  </w:style>
  <w:style w:type="paragraph" w:styleId="BalloonText">
    <w:name w:val="Balloon Text"/>
    <w:basedOn w:val="Normal"/>
    <w:link w:val="BalloonTextChar"/>
    <w:uiPriority w:val="99"/>
    <w:semiHidden/>
    <w:unhideWhenUsed/>
    <w:rsid w:val="0043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C2"/>
    <w:rPr>
      <w:rFonts w:ascii="Tahoma" w:hAnsi="Tahoma" w:cs="Tahoma"/>
      <w:sz w:val="16"/>
      <w:szCs w:val="16"/>
    </w:rPr>
  </w:style>
  <w:style w:type="table" w:styleId="TableGrid">
    <w:name w:val="Table Grid"/>
    <w:basedOn w:val="TableNormal"/>
    <w:uiPriority w:val="59"/>
    <w:rsid w:val="0041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EB"/>
    <w:pPr>
      <w:ind w:left="720"/>
      <w:contextualSpacing/>
    </w:pPr>
  </w:style>
  <w:style w:type="paragraph" w:styleId="BalloonText">
    <w:name w:val="Balloon Text"/>
    <w:basedOn w:val="Normal"/>
    <w:link w:val="BalloonTextChar"/>
    <w:uiPriority w:val="99"/>
    <w:semiHidden/>
    <w:unhideWhenUsed/>
    <w:rsid w:val="00430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C2"/>
    <w:rPr>
      <w:rFonts w:ascii="Tahoma" w:hAnsi="Tahoma" w:cs="Tahoma"/>
      <w:sz w:val="16"/>
      <w:szCs w:val="16"/>
    </w:rPr>
  </w:style>
  <w:style w:type="table" w:styleId="TableGrid">
    <w:name w:val="Table Grid"/>
    <w:basedOn w:val="TableNormal"/>
    <w:uiPriority w:val="59"/>
    <w:rsid w:val="0041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9524">
      <w:bodyDiv w:val="1"/>
      <w:marLeft w:val="0"/>
      <w:marRight w:val="0"/>
      <w:marTop w:val="0"/>
      <w:marBottom w:val="0"/>
      <w:divBdr>
        <w:top w:val="none" w:sz="0" w:space="0" w:color="auto"/>
        <w:left w:val="none" w:sz="0" w:space="0" w:color="auto"/>
        <w:bottom w:val="none" w:sz="0" w:space="0" w:color="auto"/>
        <w:right w:val="none" w:sz="0" w:space="0" w:color="auto"/>
      </w:divBdr>
    </w:div>
    <w:div w:id="1765344267">
      <w:bodyDiv w:val="1"/>
      <w:marLeft w:val="0"/>
      <w:marRight w:val="0"/>
      <w:marTop w:val="0"/>
      <w:marBottom w:val="0"/>
      <w:divBdr>
        <w:top w:val="none" w:sz="0" w:space="0" w:color="auto"/>
        <w:left w:val="none" w:sz="0" w:space="0" w:color="auto"/>
        <w:bottom w:val="none" w:sz="0" w:space="0" w:color="auto"/>
        <w:right w:val="none" w:sz="0" w:space="0" w:color="auto"/>
      </w:divBdr>
    </w:div>
    <w:div w:id="20955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whorigan@sbcglobal.net</dc:creator>
  <cp:lastModifiedBy>Gwendolyn Huddleston</cp:lastModifiedBy>
  <cp:revision>2</cp:revision>
  <cp:lastPrinted>2015-02-18T22:30:00Z</cp:lastPrinted>
  <dcterms:created xsi:type="dcterms:W3CDTF">2015-02-18T22:31:00Z</dcterms:created>
  <dcterms:modified xsi:type="dcterms:W3CDTF">2015-02-18T22:31:00Z</dcterms:modified>
</cp:coreProperties>
</file>