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2004C" w14:textId="2C45CD6B" w:rsidR="09075487" w:rsidRDefault="09075487" w:rsidP="09075487">
      <w:pPr>
        <w:spacing w:after="0" w:line="240" w:lineRule="auto"/>
        <w:jc w:val="center"/>
        <w:rPr>
          <w:rFonts w:eastAsiaTheme="minorEastAsia"/>
          <w:sz w:val="24"/>
          <w:szCs w:val="24"/>
        </w:rPr>
      </w:pPr>
      <w:bookmarkStart w:id="0" w:name="_GoBack"/>
      <w:bookmarkEnd w:id="0"/>
      <w:r w:rsidRPr="09075487">
        <w:rPr>
          <w:rFonts w:eastAsiaTheme="minorEastAsia"/>
          <w:b/>
          <w:bCs/>
          <w:sz w:val="24"/>
          <w:szCs w:val="24"/>
        </w:rPr>
        <w:t>Ventura College Academic Senate</w:t>
      </w:r>
    </w:p>
    <w:p w14:paraId="784B22D1" w14:textId="42B0749E" w:rsidR="09075487" w:rsidRDefault="09075487" w:rsidP="09075487">
      <w:pPr>
        <w:spacing w:after="0" w:line="240" w:lineRule="auto"/>
        <w:jc w:val="center"/>
        <w:rPr>
          <w:rFonts w:eastAsiaTheme="minorEastAsia"/>
          <w:sz w:val="24"/>
          <w:szCs w:val="24"/>
        </w:rPr>
      </w:pPr>
      <w:r w:rsidRPr="09075487">
        <w:rPr>
          <w:rFonts w:eastAsiaTheme="minorEastAsia"/>
          <w:b/>
          <w:bCs/>
          <w:sz w:val="24"/>
          <w:szCs w:val="24"/>
        </w:rPr>
        <w:t>Agenda</w:t>
      </w:r>
    </w:p>
    <w:p w14:paraId="689A48EF" w14:textId="6D7317B2" w:rsidR="09075487" w:rsidRDefault="09075487" w:rsidP="09075487">
      <w:pPr>
        <w:spacing w:after="0" w:line="240" w:lineRule="auto"/>
        <w:jc w:val="center"/>
        <w:rPr>
          <w:rFonts w:eastAsiaTheme="minorEastAsia"/>
          <w:sz w:val="24"/>
          <w:szCs w:val="24"/>
        </w:rPr>
      </w:pPr>
      <w:r w:rsidRPr="09075487">
        <w:rPr>
          <w:rFonts w:eastAsiaTheme="minorEastAsia"/>
          <w:b/>
          <w:bCs/>
          <w:sz w:val="24"/>
          <w:szCs w:val="24"/>
        </w:rPr>
        <w:t xml:space="preserve">Thursday, </w:t>
      </w:r>
      <w:r w:rsidR="00B72EE2">
        <w:rPr>
          <w:rFonts w:eastAsiaTheme="minorEastAsia"/>
          <w:b/>
          <w:bCs/>
          <w:sz w:val="24"/>
          <w:szCs w:val="24"/>
        </w:rPr>
        <w:t>October</w:t>
      </w:r>
      <w:r w:rsidRPr="09075487">
        <w:rPr>
          <w:rFonts w:eastAsiaTheme="minorEastAsia"/>
          <w:b/>
          <w:bCs/>
          <w:sz w:val="24"/>
          <w:szCs w:val="24"/>
        </w:rPr>
        <w:t xml:space="preserve"> </w:t>
      </w:r>
      <w:r w:rsidR="00C92E79">
        <w:rPr>
          <w:rFonts w:eastAsiaTheme="minorEastAsia"/>
          <w:b/>
          <w:bCs/>
          <w:sz w:val="24"/>
          <w:szCs w:val="24"/>
        </w:rPr>
        <w:t>18</w:t>
      </w:r>
      <w:r w:rsidR="00C92E79" w:rsidRPr="00156A6E">
        <w:rPr>
          <w:rFonts w:eastAsiaTheme="minorEastAsia"/>
          <w:b/>
          <w:bCs/>
          <w:sz w:val="24"/>
          <w:szCs w:val="24"/>
          <w:vertAlign w:val="superscript"/>
        </w:rPr>
        <w:t>th</w:t>
      </w:r>
      <w:r w:rsidR="00C92E79">
        <w:rPr>
          <w:rFonts w:eastAsiaTheme="minorEastAsia"/>
          <w:b/>
          <w:bCs/>
          <w:sz w:val="24"/>
          <w:szCs w:val="24"/>
        </w:rPr>
        <w:t>,</w:t>
      </w:r>
      <w:r w:rsidRPr="09075487">
        <w:rPr>
          <w:rFonts w:eastAsiaTheme="minorEastAsia"/>
          <w:b/>
          <w:bCs/>
          <w:sz w:val="24"/>
          <w:szCs w:val="24"/>
        </w:rPr>
        <w:t xml:space="preserve"> 2018 </w:t>
      </w:r>
    </w:p>
    <w:p w14:paraId="5BB409DE" w14:textId="610397D4" w:rsidR="09075487" w:rsidRDefault="09075487" w:rsidP="09075487">
      <w:pPr>
        <w:spacing w:after="0" w:line="240" w:lineRule="auto"/>
        <w:jc w:val="center"/>
        <w:rPr>
          <w:rFonts w:eastAsiaTheme="minorEastAsia"/>
          <w:sz w:val="24"/>
          <w:szCs w:val="24"/>
        </w:rPr>
      </w:pPr>
      <w:r w:rsidRPr="09075487">
        <w:rPr>
          <w:rFonts w:eastAsiaTheme="minorEastAsia"/>
          <w:b/>
          <w:bCs/>
          <w:sz w:val="24"/>
          <w:szCs w:val="24"/>
        </w:rPr>
        <w:t>3:30-5:00pm</w:t>
      </w:r>
    </w:p>
    <w:p w14:paraId="376D610F" w14:textId="31EE705A" w:rsidR="09075487" w:rsidRDefault="09075487" w:rsidP="09075487">
      <w:pPr>
        <w:spacing w:after="0" w:line="240" w:lineRule="auto"/>
        <w:jc w:val="center"/>
        <w:rPr>
          <w:rFonts w:eastAsiaTheme="minorEastAsia"/>
          <w:sz w:val="24"/>
          <w:szCs w:val="24"/>
        </w:rPr>
      </w:pPr>
      <w:r w:rsidRPr="09075487">
        <w:rPr>
          <w:rFonts w:eastAsiaTheme="minorEastAsia"/>
          <w:b/>
          <w:bCs/>
          <w:sz w:val="24"/>
          <w:szCs w:val="24"/>
        </w:rPr>
        <w:t>Multidiscipline Center West (MCW) – 312  </w:t>
      </w:r>
    </w:p>
    <w:p w14:paraId="18B4FBB8" w14:textId="27482E00" w:rsidR="09075487" w:rsidRDefault="09075487" w:rsidP="09075487">
      <w:pPr>
        <w:spacing w:after="0" w:line="240" w:lineRule="auto"/>
        <w:jc w:val="both"/>
        <w:rPr>
          <w:rFonts w:eastAsiaTheme="minorEastAsia"/>
          <w:sz w:val="24"/>
          <w:szCs w:val="24"/>
        </w:rPr>
      </w:pPr>
    </w:p>
    <w:p w14:paraId="3F235FF0" w14:textId="76DCA1B1" w:rsidR="09075487" w:rsidRDefault="09075487" w:rsidP="09075487">
      <w:pPr>
        <w:spacing w:after="0" w:line="240" w:lineRule="auto"/>
        <w:rPr>
          <w:rFonts w:eastAsiaTheme="minorEastAsia"/>
          <w:sz w:val="24"/>
          <w:szCs w:val="24"/>
        </w:rPr>
      </w:pPr>
      <w:r w:rsidRPr="09075487">
        <w:rPr>
          <w:rFonts w:eastAsiaTheme="minorEastAsia"/>
          <w:sz w:val="24"/>
          <w:szCs w:val="24"/>
        </w:rPr>
        <w:t xml:space="preserve">I. Call to Order   </w:t>
      </w:r>
    </w:p>
    <w:p w14:paraId="1F234D13" w14:textId="52C85B33" w:rsidR="09075487" w:rsidRDefault="09075487" w:rsidP="09075487">
      <w:pPr>
        <w:spacing w:after="0" w:line="240" w:lineRule="auto"/>
        <w:rPr>
          <w:rFonts w:eastAsiaTheme="minorEastAsia"/>
          <w:sz w:val="24"/>
          <w:szCs w:val="24"/>
        </w:rPr>
      </w:pPr>
      <w:r w:rsidRPr="09075487">
        <w:rPr>
          <w:rFonts w:eastAsiaTheme="minorEastAsia"/>
          <w:sz w:val="24"/>
          <w:szCs w:val="24"/>
        </w:rPr>
        <w:t xml:space="preserve">II. Public Comments   </w:t>
      </w:r>
    </w:p>
    <w:p w14:paraId="3DD4CE36" w14:textId="59C56A55" w:rsidR="09075487" w:rsidRDefault="09075487" w:rsidP="09075487">
      <w:pPr>
        <w:spacing w:after="0" w:line="240" w:lineRule="auto"/>
        <w:ind w:left="540" w:right="720"/>
        <w:jc w:val="both"/>
        <w:rPr>
          <w:rFonts w:eastAsiaTheme="minorEastAsia"/>
          <w:sz w:val="24"/>
          <w:szCs w:val="24"/>
        </w:rPr>
      </w:pPr>
      <w:r w:rsidRPr="09075487">
        <w:rPr>
          <w:rFonts w:eastAsiaTheme="minorEastAsia"/>
          <w:sz w:val="24"/>
          <w:szCs w:val="24"/>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w:t>
      </w:r>
    </w:p>
    <w:p w14:paraId="20E35953" w14:textId="456FE6B3" w:rsidR="09075487" w:rsidRDefault="09075487" w:rsidP="09075487">
      <w:pPr>
        <w:spacing w:after="0" w:line="240" w:lineRule="auto"/>
        <w:rPr>
          <w:rFonts w:eastAsiaTheme="minorEastAsia"/>
          <w:sz w:val="24"/>
          <w:szCs w:val="24"/>
        </w:rPr>
      </w:pPr>
      <w:r w:rsidRPr="09075487">
        <w:rPr>
          <w:rFonts w:eastAsiaTheme="minorEastAsia"/>
          <w:sz w:val="24"/>
          <w:szCs w:val="24"/>
        </w:rPr>
        <w:t>III. Acknowledgement of Guests</w:t>
      </w:r>
    </w:p>
    <w:p w14:paraId="4DD9DE4C" w14:textId="510B3B69" w:rsidR="09075487" w:rsidRDefault="09075487" w:rsidP="09075487">
      <w:pPr>
        <w:spacing w:after="0" w:line="240" w:lineRule="auto"/>
        <w:rPr>
          <w:rFonts w:eastAsiaTheme="minorEastAsia"/>
          <w:sz w:val="24"/>
          <w:szCs w:val="24"/>
        </w:rPr>
      </w:pPr>
      <w:r w:rsidRPr="09075487">
        <w:rPr>
          <w:rFonts w:eastAsiaTheme="minorEastAsia"/>
          <w:sz w:val="24"/>
          <w:szCs w:val="24"/>
        </w:rPr>
        <w:t>IV. Informational Items</w:t>
      </w:r>
    </w:p>
    <w:p w14:paraId="2DBBE88B" w14:textId="71838CE6" w:rsidR="00C92E79" w:rsidRDefault="09075487" w:rsidP="09075487">
      <w:pPr>
        <w:pStyle w:val="ListParagraph"/>
        <w:numPr>
          <w:ilvl w:val="0"/>
          <w:numId w:val="4"/>
        </w:numPr>
        <w:spacing w:after="0" w:line="240" w:lineRule="auto"/>
        <w:ind w:hanging="200"/>
        <w:rPr>
          <w:sz w:val="24"/>
          <w:szCs w:val="24"/>
        </w:rPr>
      </w:pPr>
      <w:r w:rsidRPr="09075487">
        <w:rPr>
          <w:rFonts w:eastAsiaTheme="minorEastAsia"/>
          <w:sz w:val="24"/>
          <w:szCs w:val="24"/>
        </w:rPr>
        <w:t>Guided Pathways (Colleen)</w:t>
      </w:r>
      <w:r w:rsidR="00C92E79">
        <w:rPr>
          <w:sz w:val="24"/>
          <w:szCs w:val="24"/>
        </w:rPr>
        <w:t xml:space="preserve"> </w:t>
      </w:r>
    </w:p>
    <w:p w14:paraId="3F990B90" w14:textId="28AFADE4" w:rsidR="09075487" w:rsidRDefault="09075487" w:rsidP="09075487">
      <w:pPr>
        <w:spacing w:after="0" w:line="240" w:lineRule="auto"/>
        <w:rPr>
          <w:rFonts w:eastAsiaTheme="minorEastAsia"/>
          <w:sz w:val="24"/>
          <w:szCs w:val="24"/>
        </w:rPr>
      </w:pPr>
      <w:r w:rsidRPr="09075487">
        <w:rPr>
          <w:rFonts w:eastAsiaTheme="minorEastAsia"/>
          <w:sz w:val="24"/>
          <w:szCs w:val="24"/>
        </w:rPr>
        <w:t>V. Action Items</w:t>
      </w:r>
    </w:p>
    <w:p w14:paraId="162CBAF4" w14:textId="61E8C062" w:rsidR="09075487" w:rsidRDefault="09075487" w:rsidP="09075487">
      <w:pPr>
        <w:pStyle w:val="ListParagraph"/>
        <w:numPr>
          <w:ilvl w:val="0"/>
          <w:numId w:val="1"/>
        </w:numPr>
        <w:spacing w:after="0" w:line="240" w:lineRule="auto"/>
        <w:rPr>
          <w:sz w:val="24"/>
          <w:szCs w:val="24"/>
        </w:rPr>
      </w:pPr>
      <w:r w:rsidRPr="09075487">
        <w:rPr>
          <w:rFonts w:eastAsiaTheme="minorEastAsia"/>
          <w:sz w:val="24"/>
          <w:szCs w:val="24"/>
        </w:rPr>
        <w:t>Approval of minutes (10/4/18)</w:t>
      </w:r>
    </w:p>
    <w:p w14:paraId="684016A8" w14:textId="1D67E28F" w:rsidR="09075487" w:rsidRDefault="00F42EA6" w:rsidP="09075487">
      <w:pPr>
        <w:pStyle w:val="ListParagraph"/>
        <w:numPr>
          <w:ilvl w:val="0"/>
          <w:numId w:val="1"/>
        </w:numPr>
        <w:spacing w:after="0" w:line="240" w:lineRule="auto"/>
        <w:rPr>
          <w:sz w:val="24"/>
          <w:szCs w:val="24"/>
        </w:rPr>
      </w:pPr>
      <w:r>
        <w:rPr>
          <w:rFonts w:eastAsiaTheme="minorEastAsia"/>
          <w:sz w:val="24"/>
          <w:szCs w:val="24"/>
        </w:rPr>
        <w:t>Final approval of committees</w:t>
      </w:r>
    </w:p>
    <w:p w14:paraId="4274DA25" w14:textId="78C5633C" w:rsidR="09075487" w:rsidRDefault="09075487" w:rsidP="09075487">
      <w:pPr>
        <w:spacing w:after="0" w:line="240" w:lineRule="auto"/>
        <w:rPr>
          <w:rFonts w:eastAsiaTheme="minorEastAsia"/>
          <w:sz w:val="24"/>
          <w:szCs w:val="24"/>
        </w:rPr>
      </w:pPr>
      <w:r w:rsidRPr="09075487">
        <w:rPr>
          <w:rFonts w:eastAsiaTheme="minorEastAsia"/>
          <w:sz w:val="24"/>
          <w:szCs w:val="24"/>
        </w:rPr>
        <w:t>VI. Discussion Items</w:t>
      </w:r>
    </w:p>
    <w:p w14:paraId="6FDE1CCA" w14:textId="5D8B808C" w:rsidR="09075487" w:rsidRDefault="09075487" w:rsidP="09075487">
      <w:pPr>
        <w:pStyle w:val="ListParagraph"/>
        <w:numPr>
          <w:ilvl w:val="0"/>
          <w:numId w:val="2"/>
        </w:numPr>
        <w:spacing w:after="0" w:line="240" w:lineRule="auto"/>
        <w:rPr>
          <w:sz w:val="24"/>
          <w:szCs w:val="24"/>
        </w:rPr>
      </w:pPr>
      <w:r w:rsidRPr="09075487">
        <w:rPr>
          <w:rFonts w:eastAsiaTheme="minorEastAsia"/>
          <w:sz w:val="24"/>
          <w:szCs w:val="24"/>
        </w:rPr>
        <w:t>Update Re: Senate Elections (Philip)</w:t>
      </w:r>
    </w:p>
    <w:p w14:paraId="0E600AA9" w14:textId="0EAEB1B9" w:rsidR="09075487" w:rsidRPr="00C92E79" w:rsidRDefault="09075487" w:rsidP="09075487">
      <w:pPr>
        <w:pStyle w:val="ListParagraph"/>
        <w:numPr>
          <w:ilvl w:val="0"/>
          <w:numId w:val="2"/>
        </w:numPr>
        <w:spacing w:after="0" w:line="240" w:lineRule="auto"/>
        <w:rPr>
          <w:sz w:val="24"/>
          <w:szCs w:val="24"/>
        </w:rPr>
      </w:pPr>
      <w:r w:rsidRPr="09075487">
        <w:rPr>
          <w:rFonts w:eastAsiaTheme="minorEastAsia"/>
          <w:sz w:val="24"/>
          <w:szCs w:val="24"/>
        </w:rPr>
        <w:t>Best Practices for Evaluating DE classes (Stephanie)</w:t>
      </w:r>
    </w:p>
    <w:p w14:paraId="30B61605" w14:textId="54778705" w:rsidR="00C92E79" w:rsidRDefault="00C92E79" w:rsidP="09075487">
      <w:pPr>
        <w:pStyle w:val="ListParagraph"/>
        <w:numPr>
          <w:ilvl w:val="0"/>
          <w:numId w:val="2"/>
        </w:numPr>
        <w:spacing w:after="0" w:line="240" w:lineRule="auto"/>
        <w:rPr>
          <w:sz w:val="24"/>
          <w:szCs w:val="24"/>
        </w:rPr>
      </w:pPr>
      <w:r>
        <w:rPr>
          <w:rFonts w:eastAsiaTheme="minorEastAsia"/>
          <w:sz w:val="24"/>
          <w:szCs w:val="24"/>
        </w:rPr>
        <w:t>ASCCC Resolutions</w:t>
      </w:r>
    </w:p>
    <w:p w14:paraId="257481DB" w14:textId="2082E35D" w:rsidR="09075487" w:rsidRDefault="09075487" w:rsidP="09075487">
      <w:pPr>
        <w:pStyle w:val="ListParagraph"/>
        <w:numPr>
          <w:ilvl w:val="0"/>
          <w:numId w:val="2"/>
        </w:numPr>
        <w:spacing w:after="0" w:line="240" w:lineRule="auto"/>
        <w:rPr>
          <w:sz w:val="24"/>
          <w:szCs w:val="24"/>
        </w:rPr>
      </w:pPr>
      <w:r w:rsidRPr="09075487">
        <w:rPr>
          <w:rFonts w:eastAsiaTheme="minorEastAsia"/>
          <w:sz w:val="24"/>
          <w:szCs w:val="24"/>
        </w:rPr>
        <w:t>Best Practices for Waitlists and Setting Class Enrollment Caps</w:t>
      </w:r>
    </w:p>
    <w:p w14:paraId="7C65A318" w14:textId="359E933B" w:rsidR="09075487" w:rsidRDefault="09075487" w:rsidP="09075487">
      <w:pPr>
        <w:pStyle w:val="ListParagraph"/>
        <w:numPr>
          <w:ilvl w:val="0"/>
          <w:numId w:val="2"/>
        </w:numPr>
        <w:spacing w:after="0" w:line="240" w:lineRule="auto"/>
        <w:rPr>
          <w:sz w:val="24"/>
          <w:szCs w:val="24"/>
        </w:rPr>
      </w:pPr>
      <w:r w:rsidRPr="09075487">
        <w:rPr>
          <w:rFonts w:eastAsiaTheme="minorEastAsia"/>
          <w:sz w:val="24"/>
          <w:szCs w:val="24"/>
        </w:rPr>
        <w:t>Sub-Committee Report Out Re: Faculty Professional Development</w:t>
      </w:r>
    </w:p>
    <w:p w14:paraId="09BDEC76" w14:textId="43335FFB" w:rsidR="09075487" w:rsidRDefault="09075487" w:rsidP="09075487">
      <w:pPr>
        <w:spacing w:after="0" w:line="240" w:lineRule="auto"/>
        <w:rPr>
          <w:rFonts w:eastAsiaTheme="minorEastAsia"/>
          <w:sz w:val="24"/>
          <w:szCs w:val="24"/>
        </w:rPr>
      </w:pPr>
      <w:r w:rsidRPr="09075487">
        <w:rPr>
          <w:rFonts w:eastAsiaTheme="minorEastAsia"/>
          <w:sz w:val="24"/>
          <w:szCs w:val="24"/>
        </w:rPr>
        <w:t>VII. President’s Report (time certain at 4:40pm)</w:t>
      </w:r>
    </w:p>
    <w:p w14:paraId="71EB941B" w14:textId="7EBF277A" w:rsidR="09075487" w:rsidRDefault="09075487" w:rsidP="09075487">
      <w:pPr>
        <w:spacing w:after="0" w:line="240" w:lineRule="auto"/>
        <w:rPr>
          <w:rFonts w:eastAsiaTheme="minorEastAsia"/>
          <w:sz w:val="24"/>
          <w:szCs w:val="24"/>
        </w:rPr>
      </w:pPr>
      <w:r w:rsidRPr="09075487">
        <w:rPr>
          <w:rFonts w:eastAsiaTheme="minorEastAsia"/>
          <w:sz w:val="24"/>
          <w:szCs w:val="24"/>
        </w:rPr>
        <w:t xml:space="preserve">VIII. Senate Subcommittees/Task Forces/Work Groups Reports </w:t>
      </w:r>
    </w:p>
    <w:p w14:paraId="79C9DF86" w14:textId="309FBC16" w:rsidR="09075487" w:rsidRDefault="09075487" w:rsidP="09075487">
      <w:pPr>
        <w:pStyle w:val="ListParagraph"/>
        <w:numPr>
          <w:ilvl w:val="0"/>
          <w:numId w:val="3"/>
        </w:numPr>
        <w:spacing w:after="0" w:line="240" w:lineRule="auto"/>
        <w:jc w:val="both"/>
        <w:rPr>
          <w:sz w:val="24"/>
          <w:szCs w:val="24"/>
        </w:rPr>
      </w:pPr>
      <w:r w:rsidRPr="09075487">
        <w:rPr>
          <w:rFonts w:eastAsiaTheme="minorEastAsia"/>
          <w:sz w:val="24"/>
          <w:szCs w:val="24"/>
        </w:rPr>
        <w:t>Treasurer’s Report (Stephanie)</w:t>
      </w:r>
    </w:p>
    <w:p w14:paraId="349D12A2" w14:textId="6C4C97F5" w:rsidR="09075487" w:rsidRDefault="09075487" w:rsidP="09075487">
      <w:pPr>
        <w:pStyle w:val="ListParagraph"/>
        <w:numPr>
          <w:ilvl w:val="0"/>
          <w:numId w:val="3"/>
        </w:numPr>
        <w:spacing w:after="0" w:line="240" w:lineRule="auto"/>
        <w:jc w:val="both"/>
        <w:rPr>
          <w:sz w:val="24"/>
          <w:szCs w:val="24"/>
        </w:rPr>
      </w:pPr>
      <w:r w:rsidRPr="09075487">
        <w:rPr>
          <w:rFonts w:eastAsiaTheme="minorEastAsia"/>
          <w:sz w:val="24"/>
          <w:szCs w:val="24"/>
        </w:rPr>
        <w:t>Curriculum Committee updates (Michael/Lydia)</w:t>
      </w:r>
    </w:p>
    <w:p w14:paraId="09EB1780" w14:textId="12A6E4D9" w:rsidR="09075487" w:rsidRDefault="09075487" w:rsidP="09075487">
      <w:pPr>
        <w:pStyle w:val="ListParagraph"/>
        <w:numPr>
          <w:ilvl w:val="0"/>
          <w:numId w:val="3"/>
        </w:numPr>
        <w:spacing w:after="0" w:line="240" w:lineRule="auto"/>
        <w:jc w:val="both"/>
        <w:rPr>
          <w:sz w:val="24"/>
          <w:szCs w:val="24"/>
        </w:rPr>
      </w:pPr>
      <w:r w:rsidRPr="09075487">
        <w:rPr>
          <w:rFonts w:eastAsiaTheme="minorEastAsia"/>
          <w:sz w:val="24"/>
          <w:szCs w:val="24"/>
        </w:rPr>
        <w:t>DE (Colleen)</w:t>
      </w:r>
    </w:p>
    <w:p w14:paraId="192D4609" w14:textId="7A5E3A7E" w:rsidR="09075487" w:rsidRDefault="09075487" w:rsidP="09075487">
      <w:pPr>
        <w:pStyle w:val="ListParagraph"/>
        <w:numPr>
          <w:ilvl w:val="0"/>
          <w:numId w:val="3"/>
        </w:numPr>
        <w:spacing w:after="0" w:line="240" w:lineRule="auto"/>
        <w:jc w:val="both"/>
        <w:rPr>
          <w:sz w:val="24"/>
          <w:szCs w:val="24"/>
        </w:rPr>
      </w:pPr>
      <w:r w:rsidRPr="09075487">
        <w:rPr>
          <w:rFonts w:eastAsiaTheme="minorEastAsia"/>
          <w:sz w:val="24"/>
          <w:szCs w:val="24"/>
        </w:rPr>
        <w:t xml:space="preserve">CTE liaison report (Deanna Hall)  </w:t>
      </w:r>
    </w:p>
    <w:p w14:paraId="25DD8380" w14:textId="7957DDF0" w:rsidR="09075487" w:rsidRDefault="09075487" w:rsidP="09075487">
      <w:pPr>
        <w:spacing w:after="0" w:line="240" w:lineRule="auto"/>
        <w:rPr>
          <w:rFonts w:eastAsiaTheme="minorEastAsia"/>
          <w:sz w:val="24"/>
          <w:szCs w:val="24"/>
        </w:rPr>
      </w:pPr>
      <w:r w:rsidRPr="09075487">
        <w:rPr>
          <w:rFonts w:eastAsiaTheme="minorEastAsia"/>
          <w:sz w:val="24"/>
          <w:szCs w:val="24"/>
        </w:rPr>
        <w:t xml:space="preserve">IX. Announcements for the Good of the Order   </w:t>
      </w:r>
    </w:p>
    <w:p w14:paraId="23731699" w14:textId="38966A41" w:rsidR="09075487" w:rsidRDefault="09075487" w:rsidP="09075487">
      <w:pPr>
        <w:spacing w:after="0" w:line="240" w:lineRule="auto"/>
        <w:rPr>
          <w:rFonts w:eastAsiaTheme="minorEastAsia"/>
          <w:sz w:val="24"/>
          <w:szCs w:val="24"/>
        </w:rPr>
      </w:pPr>
      <w:r w:rsidRPr="09075487">
        <w:rPr>
          <w:rFonts w:eastAsiaTheme="minorEastAsia"/>
          <w:sz w:val="24"/>
          <w:szCs w:val="24"/>
        </w:rPr>
        <w:t xml:space="preserve">X. Requests for Future Agenda Items   </w:t>
      </w:r>
    </w:p>
    <w:p w14:paraId="63FE504D" w14:textId="1D2B42BC" w:rsidR="09075487" w:rsidRDefault="09075487" w:rsidP="09075487">
      <w:pPr>
        <w:spacing w:after="0" w:line="240" w:lineRule="auto"/>
        <w:rPr>
          <w:rFonts w:eastAsiaTheme="minorEastAsia"/>
          <w:sz w:val="24"/>
          <w:szCs w:val="24"/>
        </w:rPr>
      </w:pPr>
      <w:r w:rsidRPr="09075487">
        <w:rPr>
          <w:rFonts w:eastAsiaTheme="minorEastAsia"/>
          <w:sz w:val="24"/>
          <w:szCs w:val="24"/>
        </w:rPr>
        <w:t>XI. Adjournment  </w:t>
      </w:r>
    </w:p>
    <w:p w14:paraId="0A8AE47A" w14:textId="5BEDF624" w:rsidR="09075487" w:rsidRDefault="09075487" w:rsidP="09075487">
      <w:pPr>
        <w:spacing w:after="0" w:line="240" w:lineRule="auto"/>
        <w:jc w:val="both"/>
        <w:rPr>
          <w:rFonts w:eastAsiaTheme="minorEastAsia"/>
          <w:sz w:val="24"/>
          <w:szCs w:val="24"/>
        </w:rPr>
      </w:pPr>
    </w:p>
    <w:sectPr w:rsidR="0907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A5C7A"/>
    <w:multiLevelType w:val="hybridMultilevel"/>
    <w:tmpl w:val="1BB40BF6"/>
    <w:lvl w:ilvl="0" w:tplc="605055F6">
      <w:start w:val="1"/>
      <w:numFmt w:val="lowerLetter"/>
      <w:lvlText w:val="%1."/>
      <w:lvlJc w:val="left"/>
      <w:pPr>
        <w:ind w:left="720" w:hanging="360"/>
      </w:pPr>
    </w:lvl>
    <w:lvl w:ilvl="1" w:tplc="44782CE8">
      <w:start w:val="1"/>
      <w:numFmt w:val="lowerLetter"/>
      <w:lvlText w:val="%2."/>
      <w:lvlJc w:val="left"/>
      <w:pPr>
        <w:ind w:left="1440" w:hanging="360"/>
      </w:pPr>
    </w:lvl>
    <w:lvl w:ilvl="2" w:tplc="0ED8E35A">
      <w:start w:val="1"/>
      <w:numFmt w:val="lowerRoman"/>
      <w:lvlText w:val="%3."/>
      <w:lvlJc w:val="right"/>
      <w:pPr>
        <w:ind w:left="2160" w:hanging="180"/>
      </w:pPr>
    </w:lvl>
    <w:lvl w:ilvl="3" w:tplc="9C6A2E20">
      <w:start w:val="1"/>
      <w:numFmt w:val="decimal"/>
      <w:lvlText w:val="%4."/>
      <w:lvlJc w:val="left"/>
      <w:pPr>
        <w:ind w:left="2880" w:hanging="360"/>
      </w:pPr>
    </w:lvl>
    <w:lvl w:ilvl="4" w:tplc="10E222B0">
      <w:start w:val="1"/>
      <w:numFmt w:val="lowerLetter"/>
      <w:lvlText w:val="%5."/>
      <w:lvlJc w:val="left"/>
      <w:pPr>
        <w:ind w:left="3600" w:hanging="360"/>
      </w:pPr>
    </w:lvl>
    <w:lvl w:ilvl="5" w:tplc="05087D84">
      <w:start w:val="1"/>
      <w:numFmt w:val="lowerRoman"/>
      <w:lvlText w:val="%6."/>
      <w:lvlJc w:val="right"/>
      <w:pPr>
        <w:ind w:left="4320" w:hanging="180"/>
      </w:pPr>
    </w:lvl>
    <w:lvl w:ilvl="6" w:tplc="C4A0BEEE">
      <w:start w:val="1"/>
      <w:numFmt w:val="decimal"/>
      <w:lvlText w:val="%7."/>
      <w:lvlJc w:val="left"/>
      <w:pPr>
        <w:ind w:left="5040" w:hanging="360"/>
      </w:pPr>
    </w:lvl>
    <w:lvl w:ilvl="7" w:tplc="367453C8">
      <w:start w:val="1"/>
      <w:numFmt w:val="lowerLetter"/>
      <w:lvlText w:val="%8."/>
      <w:lvlJc w:val="left"/>
      <w:pPr>
        <w:ind w:left="5760" w:hanging="360"/>
      </w:pPr>
    </w:lvl>
    <w:lvl w:ilvl="8" w:tplc="75FE15F6">
      <w:start w:val="1"/>
      <w:numFmt w:val="lowerRoman"/>
      <w:lvlText w:val="%9."/>
      <w:lvlJc w:val="right"/>
      <w:pPr>
        <w:ind w:left="6480" w:hanging="180"/>
      </w:pPr>
    </w:lvl>
  </w:abstractNum>
  <w:abstractNum w:abstractNumId="1" w15:restartNumberingAfterBreak="0">
    <w:nsid w:val="69E139CA"/>
    <w:multiLevelType w:val="hybridMultilevel"/>
    <w:tmpl w:val="69E634B2"/>
    <w:lvl w:ilvl="0" w:tplc="22FEB54E">
      <w:start w:val="1"/>
      <w:numFmt w:val="lowerLetter"/>
      <w:lvlText w:val="%1."/>
      <w:lvlJc w:val="left"/>
      <w:pPr>
        <w:ind w:left="720" w:hanging="360"/>
      </w:pPr>
    </w:lvl>
    <w:lvl w:ilvl="1" w:tplc="256C1692">
      <w:start w:val="1"/>
      <w:numFmt w:val="lowerLetter"/>
      <w:lvlText w:val="%2."/>
      <w:lvlJc w:val="left"/>
      <w:pPr>
        <w:ind w:left="1440" w:hanging="360"/>
      </w:pPr>
    </w:lvl>
    <w:lvl w:ilvl="2" w:tplc="333E31FC">
      <w:start w:val="1"/>
      <w:numFmt w:val="lowerRoman"/>
      <w:lvlText w:val="%3."/>
      <w:lvlJc w:val="right"/>
      <w:pPr>
        <w:ind w:left="2160" w:hanging="180"/>
      </w:pPr>
    </w:lvl>
    <w:lvl w:ilvl="3" w:tplc="021AF670">
      <w:start w:val="1"/>
      <w:numFmt w:val="decimal"/>
      <w:lvlText w:val="%4."/>
      <w:lvlJc w:val="left"/>
      <w:pPr>
        <w:ind w:left="2880" w:hanging="360"/>
      </w:pPr>
    </w:lvl>
    <w:lvl w:ilvl="4" w:tplc="B6D0EADC">
      <w:start w:val="1"/>
      <w:numFmt w:val="lowerLetter"/>
      <w:lvlText w:val="%5."/>
      <w:lvlJc w:val="left"/>
      <w:pPr>
        <w:ind w:left="3600" w:hanging="360"/>
      </w:pPr>
    </w:lvl>
    <w:lvl w:ilvl="5" w:tplc="A15CEA56">
      <w:start w:val="1"/>
      <w:numFmt w:val="lowerRoman"/>
      <w:lvlText w:val="%6."/>
      <w:lvlJc w:val="right"/>
      <w:pPr>
        <w:ind w:left="4320" w:hanging="180"/>
      </w:pPr>
    </w:lvl>
    <w:lvl w:ilvl="6" w:tplc="8EAE2684">
      <w:start w:val="1"/>
      <w:numFmt w:val="decimal"/>
      <w:lvlText w:val="%7."/>
      <w:lvlJc w:val="left"/>
      <w:pPr>
        <w:ind w:left="5040" w:hanging="360"/>
      </w:pPr>
    </w:lvl>
    <w:lvl w:ilvl="7" w:tplc="E098CAFA">
      <w:start w:val="1"/>
      <w:numFmt w:val="lowerLetter"/>
      <w:lvlText w:val="%8."/>
      <w:lvlJc w:val="left"/>
      <w:pPr>
        <w:ind w:left="5760" w:hanging="360"/>
      </w:pPr>
    </w:lvl>
    <w:lvl w:ilvl="8" w:tplc="658E95CA">
      <w:start w:val="1"/>
      <w:numFmt w:val="lowerRoman"/>
      <w:lvlText w:val="%9."/>
      <w:lvlJc w:val="right"/>
      <w:pPr>
        <w:ind w:left="6480" w:hanging="180"/>
      </w:pPr>
    </w:lvl>
  </w:abstractNum>
  <w:abstractNum w:abstractNumId="2" w15:restartNumberingAfterBreak="0">
    <w:nsid w:val="6F305A07"/>
    <w:multiLevelType w:val="hybridMultilevel"/>
    <w:tmpl w:val="18885E4C"/>
    <w:lvl w:ilvl="0" w:tplc="19621A46">
      <w:start w:val="1"/>
      <w:numFmt w:val="lowerLetter"/>
      <w:lvlText w:val="%1."/>
      <w:lvlJc w:val="left"/>
      <w:pPr>
        <w:ind w:left="720" w:hanging="360"/>
      </w:pPr>
    </w:lvl>
    <w:lvl w:ilvl="1" w:tplc="333842A6">
      <w:start w:val="1"/>
      <w:numFmt w:val="lowerLetter"/>
      <w:lvlText w:val="%2."/>
      <w:lvlJc w:val="left"/>
      <w:pPr>
        <w:ind w:left="1440" w:hanging="360"/>
      </w:pPr>
    </w:lvl>
    <w:lvl w:ilvl="2" w:tplc="57248FAA">
      <w:start w:val="1"/>
      <w:numFmt w:val="lowerRoman"/>
      <w:lvlText w:val="%3."/>
      <w:lvlJc w:val="right"/>
      <w:pPr>
        <w:ind w:left="2160" w:hanging="180"/>
      </w:pPr>
    </w:lvl>
    <w:lvl w:ilvl="3" w:tplc="FE02333C">
      <w:start w:val="1"/>
      <w:numFmt w:val="decimal"/>
      <w:lvlText w:val="%4."/>
      <w:lvlJc w:val="left"/>
      <w:pPr>
        <w:ind w:left="2880" w:hanging="360"/>
      </w:pPr>
    </w:lvl>
    <w:lvl w:ilvl="4" w:tplc="E3B09468">
      <w:start w:val="1"/>
      <w:numFmt w:val="lowerLetter"/>
      <w:lvlText w:val="%5."/>
      <w:lvlJc w:val="left"/>
      <w:pPr>
        <w:ind w:left="3600" w:hanging="360"/>
      </w:pPr>
    </w:lvl>
    <w:lvl w:ilvl="5" w:tplc="E7CE4806">
      <w:start w:val="1"/>
      <w:numFmt w:val="lowerRoman"/>
      <w:lvlText w:val="%6."/>
      <w:lvlJc w:val="right"/>
      <w:pPr>
        <w:ind w:left="4320" w:hanging="180"/>
      </w:pPr>
    </w:lvl>
    <w:lvl w:ilvl="6" w:tplc="9BBAB258">
      <w:start w:val="1"/>
      <w:numFmt w:val="decimal"/>
      <w:lvlText w:val="%7."/>
      <w:lvlJc w:val="left"/>
      <w:pPr>
        <w:ind w:left="5040" w:hanging="360"/>
      </w:pPr>
    </w:lvl>
    <w:lvl w:ilvl="7" w:tplc="4D70456A">
      <w:start w:val="1"/>
      <w:numFmt w:val="lowerLetter"/>
      <w:lvlText w:val="%8."/>
      <w:lvlJc w:val="left"/>
      <w:pPr>
        <w:ind w:left="5760" w:hanging="360"/>
      </w:pPr>
    </w:lvl>
    <w:lvl w:ilvl="8" w:tplc="707240EE">
      <w:start w:val="1"/>
      <w:numFmt w:val="lowerRoman"/>
      <w:lvlText w:val="%9."/>
      <w:lvlJc w:val="right"/>
      <w:pPr>
        <w:ind w:left="6480" w:hanging="180"/>
      </w:pPr>
    </w:lvl>
  </w:abstractNum>
  <w:abstractNum w:abstractNumId="3" w15:restartNumberingAfterBreak="0">
    <w:nsid w:val="73E20681"/>
    <w:multiLevelType w:val="hybridMultilevel"/>
    <w:tmpl w:val="75E2CF42"/>
    <w:lvl w:ilvl="0" w:tplc="94DA0558">
      <w:start w:val="1"/>
      <w:numFmt w:val="lowerLetter"/>
      <w:lvlText w:val="%1."/>
      <w:lvlJc w:val="left"/>
      <w:pPr>
        <w:ind w:left="720" w:hanging="360"/>
      </w:pPr>
    </w:lvl>
    <w:lvl w:ilvl="1" w:tplc="827EBDA2">
      <w:start w:val="1"/>
      <w:numFmt w:val="lowerLetter"/>
      <w:lvlText w:val="%2."/>
      <w:lvlJc w:val="left"/>
      <w:pPr>
        <w:ind w:left="1440" w:hanging="360"/>
      </w:pPr>
    </w:lvl>
    <w:lvl w:ilvl="2" w:tplc="93A6D9F8">
      <w:start w:val="1"/>
      <w:numFmt w:val="lowerRoman"/>
      <w:lvlText w:val="%3."/>
      <w:lvlJc w:val="right"/>
      <w:pPr>
        <w:ind w:left="2160" w:hanging="180"/>
      </w:pPr>
    </w:lvl>
    <w:lvl w:ilvl="3" w:tplc="91A87EA0">
      <w:start w:val="1"/>
      <w:numFmt w:val="decimal"/>
      <w:lvlText w:val="%4."/>
      <w:lvlJc w:val="left"/>
      <w:pPr>
        <w:ind w:left="2880" w:hanging="360"/>
      </w:pPr>
    </w:lvl>
    <w:lvl w:ilvl="4" w:tplc="4A7AAA82">
      <w:start w:val="1"/>
      <w:numFmt w:val="lowerLetter"/>
      <w:lvlText w:val="%5."/>
      <w:lvlJc w:val="left"/>
      <w:pPr>
        <w:ind w:left="3600" w:hanging="360"/>
      </w:pPr>
    </w:lvl>
    <w:lvl w:ilvl="5" w:tplc="E19E01CA">
      <w:start w:val="1"/>
      <w:numFmt w:val="lowerRoman"/>
      <w:lvlText w:val="%6."/>
      <w:lvlJc w:val="right"/>
      <w:pPr>
        <w:ind w:left="4320" w:hanging="180"/>
      </w:pPr>
    </w:lvl>
    <w:lvl w:ilvl="6" w:tplc="1F52F894">
      <w:start w:val="1"/>
      <w:numFmt w:val="decimal"/>
      <w:lvlText w:val="%7."/>
      <w:lvlJc w:val="left"/>
      <w:pPr>
        <w:ind w:left="5040" w:hanging="360"/>
      </w:pPr>
    </w:lvl>
    <w:lvl w:ilvl="7" w:tplc="06621D72">
      <w:start w:val="1"/>
      <w:numFmt w:val="lowerLetter"/>
      <w:lvlText w:val="%8."/>
      <w:lvlJc w:val="left"/>
      <w:pPr>
        <w:ind w:left="5760" w:hanging="360"/>
      </w:pPr>
    </w:lvl>
    <w:lvl w:ilvl="8" w:tplc="FF724170">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AA6EE4"/>
    <w:rsid w:val="00156A6E"/>
    <w:rsid w:val="00194867"/>
    <w:rsid w:val="007701A4"/>
    <w:rsid w:val="00B411A8"/>
    <w:rsid w:val="00B72EE2"/>
    <w:rsid w:val="00C92E79"/>
    <w:rsid w:val="00D458BF"/>
    <w:rsid w:val="00F42EA6"/>
    <w:rsid w:val="09075487"/>
    <w:rsid w:val="23AA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6EE4"/>
  <w15:docId w15:val="{65073551-8C8E-4F53-9159-09AB501D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Coffey</dc:creator>
  <cp:lastModifiedBy>Rhonda Lillie</cp:lastModifiedBy>
  <cp:revision>2</cp:revision>
  <dcterms:created xsi:type="dcterms:W3CDTF">2018-11-08T22:55:00Z</dcterms:created>
  <dcterms:modified xsi:type="dcterms:W3CDTF">2018-11-08T22:55:00Z</dcterms:modified>
</cp:coreProperties>
</file>